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031B" w14:textId="6B8AB5F1" w:rsidR="00D57669" w:rsidRPr="00D57669" w:rsidRDefault="00D57669" w:rsidP="00D57669">
      <w:pPr>
        <w:rPr>
          <w:rFonts w:ascii="Century Gothic" w:hAnsi="Century Gothic"/>
          <w:b/>
          <w:bCs/>
          <w:color w:val="000000"/>
          <w:shd w:val="clear" w:color="auto" w:fill="FFFFFF"/>
        </w:rPr>
      </w:pPr>
      <w:r>
        <w:rPr>
          <w:rFonts w:ascii="Century Gothic" w:hAnsi="Century Gothic"/>
          <w:b/>
          <w:bCs/>
          <w:color w:val="000000"/>
          <w:shd w:val="clear" w:color="auto" w:fill="FFFFFF"/>
        </w:rPr>
        <w:t>September 20 2022</w:t>
      </w:r>
    </w:p>
    <w:p w14:paraId="1D67E0B2" w14:textId="77777777" w:rsidR="00D57669" w:rsidRDefault="00D57669" w:rsidP="00D57669">
      <w:pPr>
        <w:jc w:val="center"/>
        <w:rPr>
          <w:rFonts w:ascii="Century Gothic" w:hAnsi="Century Gothic"/>
          <w:b/>
          <w:bCs/>
          <w:color w:val="000000"/>
          <w:sz w:val="32"/>
          <w:szCs w:val="32"/>
          <w:shd w:val="clear" w:color="auto" w:fill="FFFFFF"/>
        </w:rPr>
      </w:pPr>
    </w:p>
    <w:p w14:paraId="21AC4BF3" w14:textId="2DF7FB13" w:rsidR="00D57669" w:rsidRDefault="00D57669" w:rsidP="00D57669">
      <w:pPr>
        <w:jc w:val="center"/>
      </w:pPr>
      <w:r>
        <w:rPr>
          <w:rFonts w:ascii="Century Gothic" w:hAnsi="Century Gothic"/>
          <w:b/>
          <w:bCs/>
          <w:color w:val="000000"/>
          <w:sz w:val="32"/>
          <w:szCs w:val="32"/>
          <w:shd w:val="clear" w:color="auto" w:fill="FFFFFF"/>
        </w:rPr>
        <w:t>Whistleblower reports of personal misconduct in financial services firms drop 11% last year</w:t>
      </w:r>
    </w:p>
    <w:p w14:paraId="69EA6D03" w14:textId="77777777" w:rsidR="00D57669" w:rsidRDefault="00D57669" w:rsidP="00D57669">
      <w:pPr>
        <w:jc w:val="center"/>
      </w:pPr>
      <w:r>
        <w:rPr>
          <w:rFonts w:ascii="Century Gothic" w:hAnsi="Century Gothic"/>
          <w:b/>
          <w:bCs/>
          <w:color w:val="000000"/>
          <w:shd w:val="clear" w:color="auto" w:fill="FFFFFF"/>
        </w:rPr>
        <w:t> </w:t>
      </w:r>
    </w:p>
    <w:p w14:paraId="6164EDB8" w14:textId="77777777" w:rsidR="00D57669" w:rsidRDefault="00D57669" w:rsidP="00D57669">
      <w:pPr>
        <w:pStyle w:val="ListParagraph"/>
        <w:numPr>
          <w:ilvl w:val="0"/>
          <w:numId w:val="1"/>
        </w:numPr>
        <w:spacing w:after="160"/>
        <w:jc w:val="center"/>
        <w:rPr>
          <w:rFonts w:eastAsia="Times New Roman"/>
        </w:rPr>
      </w:pPr>
      <w:r>
        <w:rPr>
          <w:rFonts w:eastAsia="Times New Roman"/>
          <w:b/>
          <w:bCs/>
          <w:color w:val="000000"/>
          <w:shd w:val="clear" w:color="auto" w:fill="FFFFFF"/>
        </w:rPr>
        <w:t>Drop in bullying and sexual harassment reports as banks address toxic workplace cultures</w:t>
      </w:r>
    </w:p>
    <w:p w14:paraId="78009FAE" w14:textId="77777777" w:rsidR="00D57669" w:rsidRDefault="00D57669" w:rsidP="00D57669">
      <w:pPr>
        <w:pStyle w:val="ListParagraph"/>
        <w:spacing w:after="160"/>
      </w:pPr>
      <w:r>
        <w:rPr>
          <w:color w:val="000000"/>
          <w:shd w:val="clear" w:color="auto" w:fill="FFFFFF"/>
        </w:rPr>
        <w:t> </w:t>
      </w:r>
    </w:p>
    <w:p w14:paraId="4AFACF5F" w14:textId="77777777" w:rsidR="00D57669" w:rsidRDefault="00D57669" w:rsidP="00D57669">
      <w:r>
        <w:rPr>
          <w:rFonts w:ascii="Century Gothic" w:hAnsi="Century Gothic"/>
          <w:color w:val="000000"/>
          <w:shd w:val="clear" w:color="auto" w:fill="FFFFFF"/>
        </w:rPr>
        <w:t xml:space="preserve">The number of whistleblower reports </w:t>
      </w:r>
      <w:r>
        <w:rPr>
          <w:rFonts w:ascii="Century Gothic" w:hAnsi="Century Gothic"/>
        </w:rPr>
        <w:t>made to the FCA about personal</w:t>
      </w:r>
      <w:r>
        <w:rPr>
          <w:rFonts w:ascii="Century Gothic" w:hAnsi="Century Gothic"/>
          <w:color w:val="000000"/>
          <w:shd w:val="clear" w:color="auto" w:fill="FFFFFF"/>
        </w:rPr>
        <w:t xml:space="preserve"> non-financial misconduct in the financial services sector dropped 11% in the last year from 603 in 2020 to 537 in 2021, </w:t>
      </w:r>
      <w:r>
        <w:rPr>
          <w:rFonts w:ascii="Century Gothic" w:hAnsi="Century Gothic"/>
        </w:rPr>
        <w:t>says Fox &amp; Partners, the employment and partnership law specialists.</w:t>
      </w:r>
      <w:r>
        <w:rPr>
          <w:rFonts w:ascii="Century Gothic" w:hAnsi="Century Gothic"/>
          <w:b/>
          <w:bCs/>
          <w:color w:val="C00000"/>
          <w:shd w:val="clear" w:color="auto" w:fill="FFFFFF"/>
        </w:rPr>
        <w:br/>
      </w:r>
      <w:r>
        <w:rPr>
          <w:rFonts w:ascii="Century Gothic" w:hAnsi="Century Gothic"/>
        </w:rPr>
        <w:br/>
        <w:t xml:space="preserve">Financial services firms have come under pressure from the Financial Conduct Authority (FCA) to crack down on personal misconduct by individuals in regulated firms. Whistleblowing reports made to the FCA on personal misconduct include claims over whether an individual is fit to do their job and reports of sexual harassment (see table below). </w:t>
      </w:r>
    </w:p>
    <w:p w14:paraId="12F23E6A" w14:textId="77777777" w:rsidR="00D57669" w:rsidRDefault="00D57669" w:rsidP="00D57669">
      <w:r>
        <w:rPr>
          <w:rFonts w:ascii="Century Gothic" w:hAnsi="Century Gothic"/>
        </w:rPr>
        <w:t> </w:t>
      </w:r>
    </w:p>
    <w:p w14:paraId="7251263F" w14:textId="77777777" w:rsidR="00D57669" w:rsidRDefault="00D57669" w:rsidP="00D57669">
      <w:r>
        <w:rPr>
          <w:rFonts w:ascii="Century Gothic" w:hAnsi="Century Gothic"/>
          <w:color w:val="000000"/>
          <w:shd w:val="clear" w:color="auto" w:fill="FFFFFF"/>
        </w:rPr>
        <w:t xml:space="preserve">The FCA has made it clear that firms need to have appropriate systems and controls in place to uphold a positive working environment and ensure their employees act with personal integrity. Where senior managers have been in breach of the standards expected, the FCA may issue fines and even ban individuals from working in the industry.  </w:t>
      </w:r>
    </w:p>
    <w:p w14:paraId="2E353281" w14:textId="77777777" w:rsidR="00D57669" w:rsidRDefault="00D57669" w:rsidP="00D57669">
      <w:r>
        <w:rPr>
          <w:rFonts w:ascii="Century Gothic" w:hAnsi="Century Gothic"/>
          <w:color w:val="000000"/>
          <w:shd w:val="clear" w:color="auto" w:fill="FFFFFF"/>
        </w:rPr>
        <w:t> </w:t>
      </w:r>
    </w:p>
    <w:p w14:paraId="49DF3CD4" w14:textId="77777777" w:rsidR="00D57669" w:rsidRDefault="00D57669" w:rsidP="00D57669">
      <w:r>
        <w:rPr>
          <w:rFonts w:ascii="Century Gothic" w:hAnsi="Century Gothic"/>
          <w:color w:val="000000"/>
          <w:shd w:val="clear" w:color="auto" w:fill="FFFFFF"/>
        </w:rPr>
        <w:t>Managers are also required to have a strong handle on conduct in the areas for which they are responsible.</w:t>
      </w:r>
      <w:r>
        <w:rPr>
          <w:rFonts w:ascii="Century Gothic" w:hAnsi="Century Gothic"/>
        </w:rPr>
        <w:t xml:space="preserve"> Senior managers can face penalties if they fail to take action in response to inappropriate behaviour.</w:t>
      </w:r>
    </w:p>
    <w:p w14:paraId="142D732D" w14:textId="77777777" w:rsidR="00D57669" w:rsidRDefault="00D57669" w:rsidP="00D57669">
      <w:r>
        <w:rPr>
          <w:rFonts w:ascii="Century Gothic" w:hAnsi="Century Gothic"/>
        </w:rPr>
        <w:t> </w:t>
      </w:r>
    </w:p>
    <w:p w14:paraId="2EA836E0" w14:textId="77777777" w:rsidR="00D57669" w:rsidRDefault="00D57669" w:rsidP="00D57669">
      <w:r>
        <w:rPr>
          <w:rFonts w:ascii="Century Gothic" w:hAnsi="Century Gothic"/>
          <w:color w:val="000000"/>
          <w:shd w:val="clear" w:color="auto" w:fill="FFFFFF"/>
        </w:rPr>
        <w:t xml:space="preserve">It is widely believed that </w:t>
      </w:r>
      <w:r>
        <w:rPr>
          <w:rFonts w:ascii="Century Gothic" w:hAnsi="Century Gothic"/>
        </w:rPr>
        <w:t xml:space="preserve">broader </w:t>
      </w:r>
      <w:r>
        <w:rPr>
          <w:rFonts w:ascii="Century Gothic" w:hAnsi="Century Gothic"/>
          <w:color w:val="000000"/>
          <w:shd w:val="clear" w:color="auto" w:fill="FFFFFF"/>
        </w:rPr>
        <w:t>shortcomings in corporate culture</w:t>
      </w:r>
      <w:r>
        <w:rPr>
          <w:rFonts w:ascii="Century Gothic" w:hAnsi="Century Gothic"/>
        </w:rPr>
        <w:t xml:space="preserve"> within the banking sector</w:t>
      </w:r>
      <w:r>
        <w:rPr>
          <w:rFonts w:ascii="Century Gothic" w:hAnsi="Century Gothic"/>
          <w:color w:val="000000"/>
          <w:shd w:val="clear" w:color="auto" w:fill="FFFFFF"/>
        </w:rPr>
        <w:t xml:space="preserve"> </w:t>
      </w:r>
      <w:r>
        <w:rPr>
          <w:rFonts w:ascii="Century Gothic" w:hAnsi="Century Gothic"/>
        </w:rPr>
        <w:t xml:space="preserve">contributed to the financial mismanagement and excess risk taking that led </w:t>
      </w:r>
      <w:r>
        <w:rPr>
          <w:rFonts w:ascii="Century Gothic" w:hAnsi="Century Gothic"/>
          <w:color w:val="000000"/>
          <w:shd w:val="clear" w:color="auto" w:fill="FFFFFF"/>
        </w:rPr>
        <w:t xml:space="preserve">to the Global Financial Crisis. </w:t>
      </w:r>
    </w:p>
    <w:p w14:paraId="064E0BB1" w14:textId="77777777" w:rsidR="00D57669" w:rsidRDefault="00D57669" w:rsidP="00D57669">
      <w:pPr>
        <w:rPr>
          <w:rFonts w:ascii="Century Gothic" w:hAnsi="Century Gothic"/>
        </w:rPr>
      </w:pPr>
    </w:p>
    <w:p w14:paraId="7B233062" w14:textId="77777777" w:rsidR="00D57669" w:rsidRDefault="00D57669" w:rsidP="00D57669">
      <w:r>
        <w:rPr>
          <w:rFonts w:ascii="Century Gothic" w:hAnsi="Century Gothic"/>
        </w:rPr>
        <w:t xml:space="preserve">Fox says the drop in the number of personal misconduct reports is likely partly due to action taken by firms. Many have introduced mandatory internal training and leadership messaging to create a culture in which inappropriate behaviour is called out. </w:t>
      </w:r>
      <w:r>
        <w:rPr>
          <w:rFonts w:ascii="Century Gothic" w:hAnsi="Century Gothic"/>
          <w:color w:val="000000"/>
          <w:shd w:val="clear" w:color="auto" w:fill="FFFFFF"/>
        </w:rPr>
        <w:t>Firms may also assess staff against a broad spectrum of indicators, ensuring appropriate escalation procedures are in place to help investigate claims.</w:t>
      </w:r>
    </w:p>
    <w:p w14:paraId="10040A74" w14:textId="77777777" w:rsidR="00D57669" w:rsidRDefault="00D57669" w:rsidP="00D57669">
      <w:r>
        <w:rPr>
          <w:rFonts w:ascii="Century Gothic" w:hAnsi="Century Gothic"/>
          <w:color w:val="000000"/>
          <w:shd w:val="clear" w:color="auto" w:fill="FFFFFF"/>
        </w:rPr>
        <w:t> </w:t>
      </w:r>
    </w:p>
    <w:p w14:paraId="0611B885" w14:textId="77777777" w:rsidR="00D57669" w:rsidRDefault="00D57669" w:rsidP="00D57669">
      <w:r>
        <w:rPr>
          <w:rFonts w:ascii="Century Gothic" w:hAnsi="Century Gothic"/>
          <w:color w:val="000000"/>
        </w:rPr>
        <w:t>Catriona Watt, Partner at Fox &amp; Partners, says: “</w:t>
      </w:r>
      <w:r>
        <w:rPr>
          <w:rFonts w:ascii="Century Gothic" w:hAnsi="Century Gothic"/>
          <w:color w:val="000000"/>
          <w:shd w:val="clear" w:color="auto" w:fill="FFFFFF"/>
        </w:rPr>
        <w:t xml:space="preserve">The drop in the number of personal misconduct reports shows action taken by financial services firms to improve workplace culture is starting to yield results.” </w:t>
      </w:r>
    </w:p>
    <w:p w14:paraId="70E07884" w14:textId="77777777" w:rsidR="00D57669" w:rsidRDefault="00D57669" w:rsidP="00D57669">
      <w:r>
        <w:rPr>
          <w:rFonts w:ascii="Century Gothic" w:hAnsi="Century Gothic"/>
          <w:color w:val="000000"/>
          <w:shd w:val="clear" w:color="auto" w:fill="FFFFFF"/>
        </w:rPr>
        <w:t> </w:t>
      </w:r>
    </w:p>
    <w:p w14:paraId="6E7C549D" w14:textId="77777777" w:rsidR="00D57669" w:rsidRDefault="00D57669" w:rsidP="00D57669">
      <w:r>
        <w:rPr>
          <w:rFonts w:ascii="Century Gothic" w:hAnsi="Century Gothic"/>
          <w:color w:val="000000"/>
          <w:shd w:val="clear" w:color="auto" w:fill="FFFFFF"/>
        </w:rPr>
        <w:t xml:space="preserve">“Firms are increasingly aware that individuals within their organisation failing to meet standards of personal conduct pose a threat to their corporate reputation. This has prompted an emphasis on training staff to be able to identify and call out misconduct.” </w:t>
      </w:r>
    </w:p>
    <w:p w14:paraId="32C70432" w14:textId="77777777" w:rsidR="00D57669" w:rsidRDefault="00D57669" w:rsidP="00D57669">
      <w:r>
        <w:rPr>
          <w:rFonts w:ascii="Century Gothic" w:hAnsi="Century Gothic"/>
          <w:color w:val="000000"/>
          <w:shd w:val="clear" w:color="auto" w:fill="FFFFFF"/>
        </w:rPr>
        <w:t> </w:t>
      </w:r>
    </w:p>
    <w:p w14:paraId="17F8C111" w14:textId="77777777" w:rsidR="00D57669" w:rsidRDefault="00D57669" w:rsidP="00D57669">
      <w:r>
        <w:rPr>
          <w:rFonts w:ascii="Century Gothic" w:hAnsi="Century Gothic"/>
          <w:color w:val="000000"/>
        </w:rPr>
        <w:t> </w:t>
      </w:r>
    </w:p>
    <w:p w14:paraId="3D1366EB" w14:textId="77777777" w:rsidR="00D57669" w:rsidRDefault="00D57669" w:rsidP="00D57669">
      <w:r>
        <w:rPr>
          <w:rFonts w:ascii="Century Gothic" w:hAnsi="Century Gothic"/>
          <w:color w:val="000000"/>
        </w:rPr>
        <w:lastRenderedPageBreak/>
        <w:t>“As employees return to their offices in greater numbers, we will see whether the training firms have put in place to create appropriate behaviour continues to be effective.</w:t>
      </w:r>
      <w:r>
        <w:rPr>
          <w:rFonts w:ascii="Century Gothic" w:hAnsi="Century Gothic"/>
          <w:color w:val="000000"/>
          <w:shd w:val="clear" w:color="auto" w:fill="FFFFFF"/>
        </w:rPr>
        <w:t xml:space="preserve">” </w:t>
      </w:r>
    </w:p>
    <w:p w14:paraId="2C6012A0" w14:textId="77777777" w:rsidR="00D57669" w:rsidRDefault="00D57669" w:rsidP="00D57669">
      <w:r>
        <w:rPr>
          <w:rFonts w:ascii="Century Gothic" w:hAnsi="Century Gothic"/>
        </w:rPr>
        <w:t> </w:t>
      </w:r>
    </w:p>
    <w:p w14:paraId="7CB74203" w14:textId="77777777" w:rsidR="00D57669" w:rsidRDefault="00D57669" w:rsidP="00D57669">
      <w:pPr>
        <w:jc w:val="center"/>
      </w:pPr>
      <w:r>
        <w:rPr>
          <w:rFonts w:ascii="Century Gothic" w:hAnsi="Century Gothic"/>
          <w:b/>
          <w:bCs/>
          <w:u w:val="single"/>
        </w:rPr>
        <w:t>Personal misconduct reports drop 11% in last year, with sexual harassment reports dropping to zero</w:t>
      </w:r>
    </w:p>
    <w:p w14:paraId="1D6C6EA5" w14:textId="77777777" w:rsidR="00D57669" w:rsidRDefault="00D57669" w:rsidP="00D57669">
      <w:r>
        <w:rPr>
          <w:rFonts w:ascii="Century Gothic" w:hAnsi="Century Gothic"/>
        </w:rPr>
        <w:t> </w:t>
      </w:r>
    </w:p>
    <w:tbl>
      <w:tblPr>
        <w:tblW w:w="5580" w:type="dxa"/>
        <w:jc w:val="center"/>
        <w:tblCellMar>
          <w:left w:w="0" w:type="dxa"/>
          <w:right w:w="0" w:type="dxa"/>
        </w:tblCellMar>
        <w:tblLook w:val="04A0" w:firstRow="1" w:lastRow="0" w:firstColumn="1" w:lastColumn="0" w:noHBand="0" w:noVBand="1"/>
      </w:tblPr>
      <w:tblGrid>
        <w:gridCol w:w="1680"/>
        <w:gridCol w:w="1300"/>
        <w:gridCol w:w="1300"/>
        <w:gridCol w:w="1300"/>
      </w:tblGrid>
      <w:tr w:rsidR="00D57669" w14:paraId="2CCBC320" w14:textId="77777777" w:rsidTr="00D57669">
        <w:trPr>
          <w:trHeight w:val="680"/>
          <w:jc w:val="center"/>
        </w:trPr>
        <w:tc>
          <w:tcPr>
            <w:tcW w:w="1680" w:type="dxa"/>
            <w:tcBorders>
              <w:top w:val="single" w:sz="8" w:space="0" w:color="auto"/>
              <w:left w:val="single" w:sz="8" w:space="0" w:color="auto"/>
              <w:bottom w:val="single" w:sz="8" w:space="0" w:color="auto"/>
              <w:right w:val="single" w:sz="8" w:space="0" w:color="auto"/>
            </w:tcBorders>
            <w:shd w:val="clear" w:color="auto" w:fill="60497A"/>
            <w:tcMar>
              <w:top w:w="0" w:type="dxa"/>
              <w:left w:w="108" w:type="dxa"/>
              <w:bottom w:w="0" w:type="dxa"/>
              <w:right w:w="108" w:type="dxa"/>
            </w:tcMar>
            <w:vAlign w:val="bottom"/>
            <w:hideMark/>
          </w:tcPr>
          <w:p w14:paraId="63DD65AA" w14:textId="77777777" w:rsidR="00D57669" w:rsidRDefault="00D57669">
            <w:pPr>
              <w:jc w:val="center"/>
            </w:pPr>
            <w:r>
              <w:rPr>
                <w:rFonts w:ascii="Century Gothic" w:hAnsi="Century Gothic"/>
                <w:b/>
                <w:bCs/>
                <w:color w:val="FFFFFF"/>
              </w:rPr>
              <w:t>Allegation Subject</w:t>
            </w:r>
          </w:p>
        </w:tc>
        <w:tc>
          <w:tcPr>
            <w:tcW w:w="1300" w:type="dxa"/>
            <w:tcBorders>
              <w:top w:val="single" w:sz="8" w:space="0" w:color="auto"/>
              <w:left w:val="nil"/>
              <w:bottom w:val="single" w:sz="8" w:space="0" w:color="auto"/>
              <w:right w:val="single" w:sz="8" w:space="0" w:color="auto"/>
            </w:tcBorders>
            <w:shd w:val="clear" w:color="auto" w:fill="60497A"/>
            <w:tcMar>
              <w:top w:w="0" w:type="dxa"/>
              <w:left w:w="108" w:type="dxa"/>
              <w:bottom w:w="0" w:type="dxa"/>
              <w:right w:w="108" w:type="dxa"/>
            </w:tcMar>
            <w:vAlign w:val="bottom"/>
            <w:hideMark/>
          </w:tcPr>
          <w:p w14:paraId="3F920DAA" w14:textId="77777777" w:rsidR="00D57669" w:rsidRDefault="00D57669">
            <w:pPr>
              <w:jc w:val="center"/>
            </w:pPr>
            <w:r>
              <w:rPr>
                <w:rFonts w:ascii="Century Gothic" w:hAnsi="Century Gothic"/>
                <w:b/>
                <w:bCs/>
                <w:color w:val="FFFFFF"/>
              </w:rPr>
              <w:t>2019</w:t>
            </w:r>
          </w:p>
        </w:tc>
        <w:tc>
          <w:tcPr>
            <w:tcW w:w="1300" w:type="dxa"/>
            <w:tcBorders>
              <w:top w:val="single" w:sz="8" w:space="0" w:color="auto"/>
              <w:left w:val="nil"/>
              <w:bottom w:val="single" w:sz="8" w:space="0" w:color="auto"/>
              <w:right w:val="single" w:sz="8" w:space="0" w:color="auto"/>
            </w:tcBorders>
            <w:shd w:val="clear" w:color="auto" w:fill="60497A"/>
            <w:tcMar>
              <w:top w:w="0" w:type="dxa"/>
              <w:left w:w="108" w:type="dxa"/>
              <w:bottom w:w="0" w:type="dxa"/>
              <w:right w:w="108" w:type="dxa"/>
            </w:tcMar>
            <w:vAlign w:val="bottom"/>
            <w:hideMark/>
          </w:tcPr>
          <w:p w14:paraId="6123039B" w14:textId="77777777" w:rsidR="00D57669" w:rsidRDefault="00D57669">
            <w:pPr>
              <w:jc w:val="center"/>
            </w:pPr>
            <w:r>
              <w:rPr>
                <w:rFonts w:ascii="Century Gothic" w:hAnsi="Century Gothic"/>
                <w:b/>
                <w:bCs/>
                <w:color w:val="FFFFFF"/>
              </w:rPr>
              <w:t>2020</w:t>
            </w:r>
          </w:p>
        </w:tc>
        <w:tc>
          <w:tcPr>
            <w:tcW w:w="1300" w:type="dxa"/>
            <w:tcBorders>
              <w:top w:val="single" w:sz="8" w:space="0" w:color="auto"/>
              <w:left w:val="nil"/>
              <w:bottom w:val="single" w:sz="8" w:space="0" w:color="auto"/>
              <w:right w:val="single" w:sz="8" w:space="0" w:color="auto"/>
            </w:tcBorders>
            <w:shd w:val="clear" w:color="auto" w:fill="60497A"/>
            <w:tcMar>
              <w:top w:w="0" w:type="dxa"/>
              <w:left w:w="108" w:type="dxa"/>
              <w:bottom w:w="0" w:type="dxa"/>
              <w:right w:w="108" w:type="dxa"/>
            </w:tcMar>
            <w:vAlign w:val="bottom"/>
            <w:hideMark/>
          </w:tcPr>
          <w:p w14:paraId="174E2AC7" w14:textId="77777777" w:rsidR="00D57669" w:rsidRDefault="00D57669">
            <w:pPr>
              <w:jc w:val="center"/>
            </w:pPr>
            <w:r>
              <w:rPr>
                <w:rFonts w:ascii="Century Gothic" w:hAnsi="Century Gothic"/>
                <w:b/>
                <w:bCs/>
                <w:color w:val="FFFFFF"/>
              </w:rPr>
              <w:t>2021</w:t>
            </w:r>
          </w:p>
        </w:tc>
      </w:tr>
      <w:tr w:rsidR="00D57669" w14:paraId="40DA5E30" w14:textId="77777777" w:rsidTr="00D57669">
        <w:trPr>
          <w:trHeight w:val="680"/>
          <w:jc w:val="center"/>
        </w:trPr>
        <w:tc>
          <w:tcPr>
            <w:tcW w:w="1680" w:type="dxa"/>
            <w:tcBorders>
              <w:top w:val="nil"/>
              <w:left w:val="single" w:sz="8" w:space="0" w:color="auto"/>
              <w:bottom w:val="single" w:sz="8" w:space="0" w:color="auto"/>
              <w:right w:val="single" w:sz="8" w:space="0" w:color="auto"/>
            </w:tcBorders>
            <w:shd w:val="clear" w:color="auto" w:fill="CCC0DA"/>
            <w:tcMar>
              <w:top w:w="0" w:type="dxa"/>
              <w:left w:w="108" w:type="dxa"/>
              <w:bottom w:w="0" w:type="dxa"/>
              <w:right w:w="108" w:type="dxa"/>
            </w:tcMar>
            <w:vAlign w:val="bottom"/>
            <w:hideMark/>
          </w:tcPr>
          <w:p w14:paraId="20096A42" w14:textId="77777777" w:rsidR="00D57669" w:rsidRDefault="00D57669">
            <w:pPr>
              <w:jc w:val="center"/>
            </w:pPr>
            <w:r>
              <w:rPr>
                <w:rFonts w:ascii="Century Gothic" w:hAnsi="Century Gothic"/>
                <w:color w:val="000000"/>
              </w:rPr>
              <w:t>Fitness &amp; Propriety</w:t>
            </w:r>
          </w:p>
        </w:tc>
        <w:tc>
          <w:tcPr>
            <w:tcW w:w="1300"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bottom"/>
            <w:hideMark/>
          </w:tcPr>
          <w:p w14:paraId="243E3255" w14:textId="77777777" w:rsidR="00D57669" w:rsidRDefault="00D57669">
            <w:pPr>
              <w:jc w:val="center"/>
            </w:pPr>
            <w:r>
              <w:rPr>
                <w:rFonts w:ascii="Century Gothic" w:hAnsi="Century Gothic"/>
                <w:color w:val="000000"/>
              </w:rPr>
              <w:t>443</w:t>
            </w:r>
          </w:p>
        </w:tc>
        <w:tc>
          <w:tcPr>
            <w:tcW w:w="1300"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bottom"/>
            <w:hideMark/>
          </w:tcPr>
          <w:p w14:paraId="011D9DE1" w14:textId="77777777" w:rsidR="00D57669" w:rsidRDefault="00D57669">
            <w:pPr>
              <w:jc w:val="center"/>
            </w:pPr>
            <w:r>
              <w:rPr>
                <w:rFonts w:ascii="Century Gothic" w:hAnsi="Century Gothic"/>
                <w:color w:val="000000"/>
              </w:rPr>
              <w:t>384</w:t>
            </w:r>
          </w:p>
        </w:tc>
        <w:tc>
          <w:tcPr>
            <w:tcW w:w="1300"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bottom"/>
            <w:hideMark/>
          </w:tcPr>
          <w:p w14:paraId="683E80A6" w14:textId="77777777" w:rsidR="00D57669" w:rsidRDefault="00D57669">
            <w:pPr>
              <w:jc w:val="center"/>
            </w:pPr>
            <w:r>
              <w:rPr>
                <w:rFonts w:ascii="Century Gothic" w:hAnsi="Century Gothic"/>
                <w:color w:val="000000"/>
              </w:rPr>
              <w:t>353</w:t>
            </w:r>
          </w:p>
        </w:tc>
      </w:tr>
      <w:tr w:rsidR="00D57669" w14:paraId="128162B7" w14:textId="77777777" w:rsidTr="00D57669">
        <w:trPr>
          <w:trHeight w:val="680"/>
          <w:jc w:val="center"/>
        </w:trPr>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5C1C60" w14:textId="77777777" w:rsidR="00D57669" w:rsidRDefault="00D57669">
            <w:pPr>
              <w:jc w:val="center"/>
            </w:pPr>
            <w:r>
              <w:rPr>
                <w:rFonts w:ascii="Century Gothic" w:hAnsi="Century Gothic"/>
                <w:color w:val="000000"/>
              </w:rPr>
              <w:t>Culture of organisation</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B9468C" w14:textId="77777777" w:rsidR="00D57669" w:rsidRDefault="00D57669">
            <w:pPr>
              <w:jc w:val="center"/>
            </w:pPr>
            <w:r>
              <w:rPr>
                <w:rFonts w:ascii="Century Gothic" w:hAnsi="Century Gothic"/>
                <w:color w:val="000000"/>
              </w:rPr>
              <w:t>219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D44120" w14:textId="77777777" w:rsidR="00D57669" w:rsidRDefault="00D57669">
            <w:pPr>
              <w:jc w:val="center"/>
            </w:pPr>
            <w:r>
              <w:rPr>
                <w:rFonts w:ascii="Century Gothic" w:hAnsi="Century Gothic"/>
                <w:color w:val="000000"/>
              </w:rPr>
              <w:t>211</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D3416B" w14:textId="77777777" w:rsidR="00D57669" w:rsidRDefault="00D57669">
            <w:pPr>
              <w:jc w:val="center"/>
            </w:pPr>
            <w:r>
              <w:rPr>
                <w:rFonts w:ascii="Century Gothic" w:hAnsi="Century Gothic"/>
                <w:color w:val="000000"/>
              </w:rPr>
              <w:t>184</w:t>
            </w:r>
          </w:p>
        </w:tc>
      </w:tr>
      <w:tr w:rsidR="00D57669" w14:paraId="2A25B3B5" w14:textId="77777777" w:rsidTr="00D57669">
        <w:trPr>
          <w:trHeight w:val="680"/>
          <w:jc w:val="center"/>
        </w:trPr>
        <w:tc>
          <w:tcPr>
            <w:tcW w:w="1680" w:type="dxa"/>
            <w:tcBorders>
              <w:top w:val="nil"/>
              <w:left w:val="single" w:sz="8" w:space="0" w:color="auto"/>
              <w:bottom w:val="single" w:sz="8" w:space="0" w:color="auto"/>
              <w:right w:val="single" w:sz="8" w:space="0" w:color="auto"/>
            </w:tcBorders>
            <w:shd w:val="clear" w:color="auto" w:fill="CCC0DA"/>
            <w:tcMar>
              <w:top w:w="0" w:type="dxa"/>
              <w:left w:w="108" w:type="dxa"/>
              <w:bottom w:w="0" w:type="dxa"/>
              <w:right w:w="108" w:type="dxa"/>
            </w:tcMar>
            <w:vAlign w:val="bottom"/>
            <w:hideMark/>
          </w:tcPr>
          <w:p w14:paraId="08B4CCD8" w14:textId="77777777" w:rsidR="00D57669" w:rsidRDefault="00D57669">
            <w:pPr>
              <w:jc w:val="center"/>
            </w:pPr>
            <w:r>
              <w:rPr>
                <w:rFonts w:ascii="Century Gothic" w:hAnsi="Century Gothic"/>
                <w:color w:val="000000"/>
              </w:rPr>
              <w:t>Sexual Harassment</w:t>
            </w:r>
          </w:p>
        </w:tc>
        <w:tc>
          <w:tcPr>
            <w:tcW w:w="1300"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bottom"/>
            <w:hideMark/>
          </w:tcPr>
          <w:p w14:paraId="1B231D17" w14:textId="77777777" w:rsidR="00D57669" w:rsidRDefault="00D57669">
            <w:pPr>
              <w:jc w:val="center"/>
            </w:pPr>
            <w:r>
              <w:rPr>
                <w:rFonts w:ascii="Century Gothic" w:hAnsi="Century Gothic"/>
                <w:color w:val="000000"/>
              </w:rPr>
              <w:t>13</w:t>
            </w:r>
          </w:p>
        </w:tc>
        <w:tc>
          <w:tcPr>
            <w:tcW w:w="1300"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bottom"/>
            <w:hideMark/>
          </w:tcPr>
          <w:p w14:paraId="2D1FABB0" w14:textId="77777777" w:rsidR="00D57669" w:rsidRDefault="00D57669">
            <w:pPr>
              <w:jc w:val="center"/>
            </w:pPr>
            <w:r>
              <w:rPr>
                <w:rFonts w:ascii="Century Gothic" w:hAnsi="Century Gothic"/>
                <w:color w:val="000000"/>
              </w:rPr>
              <w:t>8</w:t>
            </w:r>
          </w:p>
        </w:tc>
        <w:tc>
          <w:tcPr>
            <w:tcW w:w="1300"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bottom"/>
            <w:hideMark/>
          </w:tcPr>
          <w:p w14:paraId="330A387C" w14:textId="77777777" w:rsidR="00D57669" w:rsidRDefault="00D57669">
            <w:pPr>
              <w:jc w:val="center"/>
            </w:pPr>
            <w:r>
              <w:rPr>
                <w:rFonts w:ascii="Century Gothic" w:hAnsi="Century Gothic"/>
                <w:color w:val="000000"/>
              </w:rPr>
              <w:t>0</w:t>
            </w:r>
          </w:p>
        </w:tc>
      </w:tr>
      <w:tr w:rsidR="00D57669" w14:paraId="0B6AE130" w14:textId="77777777" w:rsidTr="00D57669">
        <w:trPr>
          <w:trHeight w:val="340"/>
          <w:jc w:val="center"/>
        </w:trPr>
        <w:tc>
          <w:tcPr>
            <w:tcW w:w="1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6BE540" w14:textId="77777777" w:rsidR="00D57669" w:rsidRDefault="00D57669">
            <w:pPr>
              <w:jc w:val="center"/>
            </w:pPr>
            <w:r>
              <w:rPr>
                <w:rFonts w:ascii="Century Gothic" w:hAnsi="Century Gothic"/>
                <w:b/>
                <w:bCs/>
                <w:color w:val="000000"/>
              </w:rPr>
              <w:t>Total</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466818" w14:textId="77777777" w:rsidR="00D57669" w:rsidRDefault="00D57669">
            <w:pPr>
              <w:jc w:val="center"/>
            </w:pPr>
            <w:r>
              <w:rPr>
                <w:rFonts w:ascii="Century Gothic" w:hAnsi="Century Gothic"/>
                <w:b/>
                <w:bCs/>
                <w:color w:val="000000"/>
              </w:rPr>
              <w:t>675</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14421F" w14:textId="77777777" w:rsidR="00D57669" w:rsidRDefault="00D57669">
            <w:pPr>
              <w:jc w:val="center"/>
            </w:pPr>
            <w:r>
              <w:rPr>
                <w:rFonts w:ascii="Century Gothic" w:hAnsi="Century Gothic"/>
                <w:b/>
                <w:bCs/>
                <w:color w:val="000000"/>
              </w:rPr>
              <w:t>603</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39A48F" w14:textId="77777777" w:rsidR="00D57669" w:rsidRDefault="00D57669">
            <w:pPr>
              <w:jc w:val="center"/>
            </w:pPr>
            <w:r>
              <w:rPr>
                <w:rFonts w:ascii="Century Gothic" w:hAnsi="Century Gothic"/>
                <w:b/>
                <w:bCs/>
                <w:color w:val="000000"/>
              </w:rPr>
              <w:t>537</w:t>
            </w:r>
          </w:p>
        </w:tc>
      </w:tr>
    </w:tbl>
    <w:p w14:paraId="1E4D9CBF" w14:textId="77777777" w:rsidR="00D57669" w:rsidRDefault="00D57669" w:rsidP="00D57669">
      <w:r>
        <w:rPr>
          <w:rFonts w:ascii="Century Gothic" w:hAnsi="Century Gothic"/>
          <w:lang w:eastAsia="ko-KR"/>
        </w:rPr>
        <w:t> </w:t>
      </w:r>
    </w:p>
    <w:p w14:paraId="2283089B" w14:textId="77777777" w:rsidR="00D57669" w:rsidRDefault="00D57669" w:rsidP="00D57669">
      <w:r>
        <w:rPr>
          <w:rFonts w:ascii="Century Gothic" w:hAnsi="Century Gothic"/>
        </w:rPr>
        <w:t> </w:t>
      </w:r>
    </w:p>
    <w:p w14:paraId="17EDE526" w14:textId="77777777" w:rsidR="00D57669" w:rsidRDefault="00D57669" w:rsidP="00D57669">
      <w:r>
        <w:rPr>
          <w:rFonts w:ascii="Century Gothic" w:hAnsi="Century Gothic"/>
        </w:rPr>
        <w:t> </w:t>
      </w:r>
    </w:p>
    <w:p w14:paraId="1C7C972F" w14:textId="77777777" w:rsidR="00D57669" w:rsidRDefault="00D57669" w:rsidP="00D57669">
      <w:pPr>
        <w:jc w:val="center"/>
      </w:pPr>
      <w:r>
        <w:rPr>
          <w:rFonts w:ascii="Century Gothic" w:hAnsi="Century Gothic"/>
          <w:b/>
          <w:bCs/>
        </w:rPr>
        <w:t>ENDS</w:t>
      </w:r>
    </w:p>
    <w:p w14:paraId="72C09846" w14:textId="77777777" w:rsidR="00D57669" w:rsidRDefault="00D57669" w:rsidP="00D57669">
      <w:r>
        <w:rPr>
          <w:rFonts w:ascii="Century Gothic" w:hAnsi="Century Gothic"/>
          <w:b/>
          <w:bCs/>
        </w:rPr>
        <w:t> </w:t>
      </w:r>
    </w:p>
    <w:p w14:paraId="619EAA17" w14:textId="77777777" w:rsidR="00D57669" w:rsidRDefault="00D57669" w:rsidP="00D57669">
      <w:r>
        <w:rPr>
          <w:rFonts w:ascii="Century Gothic" w:hAnsi="Century Gothic"/>
          <w:b/>
          <w:bCs/>
        </w:rPr>
        <w:t> </w:t>
      </w:r>
    </w:p>
    <w:p w14:paraId="1EF02D84" w14:textId="77777777" w:rsidR="00D57669" w:rsidRDefault="00D57669" w:rsidP="00D57669">
      <w:r>
        <w:rPr>
          <w:rFonts w:ascii="Century Gothic" w:hAnsi="Century Gothic"/>
        </w:rPr>
        <w:t> </w:t>
      </w:r>
    </w:p>
    <w:p w14:paraId="7F0EEFC6" w14:textId="77777777" w:rsidR="00D57669" w:rsidRDefault="00D57669" w:rsidP="00D57669">
      <w:r>
        <w:rPr>
          <w:rFonts w:ascii="Century Gothic" w:hAnsi="Century Gothic"/>
          <w:b/>
          <w:bCs/>
        </w:rPr>
        <w:t>Press Contact</w:t>
      </w:r>
    </w:p>
    <w:p w14:paraId="7B11826D" w14:textId="77777777" w:rsidR="00D57669" w:rsidRDefault="00D57669" w:rsidP="00D57669">
      <w:r>
        <w:rPr>
          <w:rFonts w:ascii="Century Gothic" w:hAnsi="Century Gothic"/>
        </w:rPr>
        <w:t>Catriona Watt</w:t>
      </w:r>
    </w:p>
    <w:p w14:paraId="69C58768" w14:textId="77777777" w:rsidR="00D57669" w:rsidRDefault="00D57669" w:rsidP="00D57669">
      <w:r>
        <w:rPr>
          <w:rFonts w:ascii="Century Gothic" w:hAnsi="Century Gothic"/>
        </w:rPr>
        <w:t>Partner</w:t>
      </w:r>
    </w:p>
    <w:p w14:paraId="59E88BB4" w14:textId="77777777" w:rsidR="00D57669" w:rsidRDefault="00D57669" w:rsidP="00D57669">
      <w:r>
        <w:rPr>
          <w:rFonts w:ascii="Century Gothic" w:hAnsi="Century Gothic"/>
        </w:rPr>
        <w:t>Fox &amp; Partners</w:t>
      </w:r>
    </w:p>
    <w:p w14:paraId="494459F2" w14:textId="77777777" w:rsidR="00D57669" w:rsidRDefault="00D57669" w:rsidP="00D57669">
      <w:r>
        <w:rPr>
          <w:rFonts w:ascii="Century Gothic" w:hAnsi="Century Gothic"/>
          <w:color w:val="000000"/>
        </w:rPr>
        <w:t>D: +44 20 7618 2887</w:t>
      </w:r>
    </w:p>
    <w:p w14:paraId="5E3B85C9" w14:textId="77777777" w:rsidR="00D57669" w:rsidRDefault="00D57669" w:rsidP="00D57669">
      <w:r>
        <w:rPr>
          <w:rFonts w:ascii="Century Gothic" w:hAnsi="Century Gothic"/>
          <w:color w:val="000000"/>
        </w:rPr>
        <w:t>M: +44 7912 731 883</w:t>
      </w:r>
    </w:p>
    <w:p w14:paraId="2A200FC4" w14:textId="77777777" w:rsidR="00B957F2" w:rsidRDefault="00B957F2"/>
    <w:sectPr w:rsidR="00B9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115D"/>
    <w:multiLevelType w:val="hybridMultilevel"/>
    <w:tmpl w:val="3490E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877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69"/>
    <w:rsid w:val="004544B6"/>
    <w:rsid w:val="008543DB"/>
    <w:rsid w:val="00B957F2"/>
    <w:rsid w:val="00D5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439"/>
  <w15:chartTrackingRefBased/>
  <w15:docId w15:val="{9A2B8601-92F9-4492-8F4C-09E7C10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6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69"/>
    <w:pPr>
      <w:ind w:left="720"/>
      <w:contextualSpacing/>
    </w:pPr>
    <w:rPr>
      <w:rFonts w:ascii="Century Gothic" w:hAnsi="Century Gothic"/>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Cahill</dc:creator>
  <cp:keywords/>
  <dc:description/>
  <cp:lastModifiedBy>Victoria Ash</cp:lastModifiedBy>
  <cp:revision>2</cp:revision>
  <dcterms:created xsi:type="dcterms:W3CDTF">2022-09-28T18:17:00Z</dcterms:created>
  <dcterms:modified xsi:type="dcterms:W3CDTF">2022-09-28T18:17:00Z</dcterms:modified>
</cp:coreProperties>
</file>