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770B" w14:textId="26DB4624" w:rsidR="00542DEB" w:rsidRDefault="00F7480D" w:rsidP="006D7DB7">
      <w:pPr>
        <w:jc w:val="center"/>
        <w:rPr>
          <w:b/>
          <w:bCs/>
        </w:rPr>
      </w:pPr>
      <w:r>
        <w:rPr>
          <w:b/>
          <w:bCs/>
        </w:rPr>
        <w:t>FINAL</w:t>
      </w:r>
    </w:p>
    <w:p w14:paraId="0678AD50" w14:textId="77777777" w:rsidR="006D7DB7" w:rsidRDefault="006D7DB7" w:rsidP="008061A5">
      <w:pPr>
        <w:rPr>
          <w:b/>
          <w:bCs/>
        </w:rPr>
      </w:pPr>
    </w:p>
    <w:p w14:paraId="5BCF2F05" w14:textId="4215776C" w:rsidR="006D7DB7" w:rsidRDefault="68811624" w:rsidP="006D7DB7">
      <w:r>
        <w:t xml:space="preserve">January </w:t>
      </w:r>
      <w:r w:rsidR="00F7480D">
        <w:t>23</w:t>
      </w:r>
      <w:r w:rsidR="006D7DB7">
        <w:t xml:space="preserve"> 202</w:t>
      </w:r>
      <w:r w:rsidR="0A1DD8FD">
        <w:t>3</w:t>
      </w:r>
    </w:p>
    <w:p w14:paraId="48097936" w14:textId="77777777" w:rsidR="006D7DB7" w:rsidRDefault="006D7DB7" w:rsidP="006D7DB7"/>
    <w:p w14:paraId="083F8215" w14:textId="0D04A93F" w:rsidR="006D7DB7" w:rsidRPr="00920C9A" w:rsidRDefault="006D7DB7" w:rsidP="006D7DB7">
      <w:pPr>
        <w:jc w:val="center"/>
        <w:rPr>
          <w:b/>
          <w:bCs/>
          <w:sz w:val="36"/>
          <w:szCs w:val="36"/>
        </w:rPr>
      </w:pPr>
      <w:r w:rsidRPr="73317CAC">
        <w:rPr>
          <w:b/>
          <w:bCs/>
          <w:sz w:val="36"/>
          <w:szCs w:val="36"/>
        </w:rPr>
        <w:t xml:space="preserve">Women </w:t>
      </w:r>
      <w:r w:rsidR="00A57C2C" w:rsidRPr="73317CAC">
        <w:rPr>
          <w:b/>
          <w:bCs/>
          <w:sz w:val="36"/>
          <w:szCs w:val="36"/>
        </w:rPr>
        <w:t xml:space="preserve">still </w:t>
      </w:r>
      <w:r w:rsidRPr="73317CAC">
        <w:rPr>
          <w:b/>
          <w:bCs/>
          <w:sz w:val="36"/>
          <w:szCs w:val="36"/>
        </w:rPr>
        <w:t>only make up 15.1% of partners in financial service</w:t>
      </w:r>
      <w:r w:rsidR="1DB114AB" w:rsidRPr="73317CAC">
        <w:rPr>
          <w:b/>
          <w:bCs/>
          <w:sz w:val="36"/>
          <w:szCs w:val="36"/>
        </w:rPr>
        <w:t>s industry</w:t>
      </w:r>
      <w:r w:rsidRPr="73317CAC">
        <w:rPr>
          <w:b/>
          <w:bCs/>
          <w:sz w:val="36"/>
          <w:szCs w:val="36"/>
        </w:rPr>
        <w:t xml:space="preserve"> </w:t>
      </w:r>
    </w:p>
    <w:p w14:paraId="55B74FCB" w14:textId="77777777" w:rsidR="00C5042D" w:rsidRDefault="00C5042D" w:rsidP="005C0C18">
      <w:pPr>
        <w:rPr>
          <w:b/>
          <w:bCs/>
        </w:rPr>
      </w:pPr>
    </w:p>
    <w:p w14:paraId="72499079" w14:textId="31B54198" w:rsidR="006D7DB7" w:rsidRDefault="006D7DB7" w:rsidP="006D7DB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59D9859C">
        <w:rPr>
          <w:b/>
          <w:bCs/>
        </w:rPr>
        <w:t>Disparit</w:t>
      </w:r>
      <w:r w:rsidR="003E1D25">
        <w:rPr>
          <w:b/>
          <w:bCs/>
        </w:rPr>
        <w:t>y</w:t>
      </w:r>
      <w:r w:rsidRPr="59D9859C">
        <w:rPr>
          <w:b/>
          <w:bCs/>
        </w:rPr>
        <w:t xml:space="preserve"> in gender representation </w:t>
      </w:r>
      <w:r w:rsidR="5390AA89" w:rsidRPr="59D9859C">
        <w:rPr>
          <w:b/>
          <w:bCs/>
        </w:rPr>
        <w:t xml:space="preserve">in </w:t>
      </w:r>
      <w:r w:rsidR="66BFF62A" w:rsidRPr="59D9859C">
        <w:rPr>
          <w:b/>
          <w:bCs/>
        </w:rPr>
        <w:t>p</w:t>
      </w:r>
      <w:r w:rsidR="5390AA89" w:rsidRPr="59D9859C">
        <w:rPr>
          <w:b/>
          <w:bCs/>
        </w:rPr>
        <w:t xml:space="preserve">rivate </w:t>
      </w:r>
      <w:r w:rsidR="247B321F" w:rsidRPr="59D9859C">
        <w:rPr>
          <w:b/>
          <w:bCs/>
        </w:rPr>
        <w:t>e</w:t>
      </w:r>
      <w:r w:rsidR="5390AA89" w:rsidRPr="59D9859C">
        <w:rPr>
          <w:b/>
          <w:bCs/>
        </w:rPr>
        <w:t xml:space="preserve">quity and </w:t>
      </w:r>
      <w:r w:rsidR="48AEA8CB" w:rsidRPr="59D9859C">
        <w:rPr>
          <w:b/>
          <w:bCs/>
        </w:rPr>
        <w:t>h</w:t>
      </w:r>
      <w:r w:rsidR="5390AA89" w:rsidRPr="59D9859C">
        <w:rPr>
          <w:b/>
          <w:bCs/>
        </w:rPr>
        <w:t xml:space="preserve">edge </w:t>
      </w:r>
      <w:r w:rsidR="10A1898E" w:rsidRPr="59D9859C">
        <w:rPr>
          <w:b/>
          <w:bCs/>
        </w:rPr>
        <w:t>f</w:t>
      </w:r>
      <w:r w:rsidR="5390AA89" w:rsidRPr="59D9859C">
        <w:rPr>
          <w:b/>
          <w:bCs/>
        </w:rPr>
        <w:t xml:space="preserve">unds </w:t>
      </w:r>
      <w:r w:rsidRPr="59D9859C">
        <w:rPr>
          <w:b/>
          <w:bCs/>
        </w:rPr>
        <w:t>ra</w:t>
      </w:r>
      <w:r w:rsidR="00C5042D" w:rsidRPr="59D9859C">
        <w:rPr>
          <w:b/>
          <w:bCs/>
        </w:rPr>
        <w:t>ise</w:t>
      </w:r>
      <w:r w:rsidR="003E1D25">
        <w:rPr>
          <w:b/>
          <w:bCs/>
        </w:rPr>
        <w:t>s issues including the prospect</w:t>
      </w:r>
      <w:r w:rsidR="003E1D25" w:rsidRPr="59D9859C">
        <w:rPr>
          <w:b/>
          <w:bCs/>
        </w:rPr>
        <w:t xml:space="preserve"> </w:t>
      </w:r>
      <w:r w:rsidR="00C5042D" w:rsidRPr="59D9859C">
        <w:rPr>
          <w:b/>
          <w:bCs/>
        </w:rPr>
        <w:t xml:space="preserve">of discrimination and equal pay claims </w:t>
      </w:r>
    </w:p>
    <w:p w14:paraId="11F3C464" w14:textId="7B65065D" w:rsidR="00072657" w:rsidRDefault="004A1EE8" w:rsidP="006D7DB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Imperative for firms</w:t>
      </w:r>
      <w:r w:rsidR="00072657">
        <w:rPr>
          <w:b/>
          <w:bCs/>
        </w:rPr>
        <w:t xml:space="preserve"> to attract and retain female leadership </w:t>
      </w:r>
    </w:p>
    <w:p w14:paraId="52CCF539" w14:textId="77777777" w:rsidR="00BB3D3F" w:rsidRDefault="00BB3D3F" w:rsidP="005C0C18">
      <w:pPr>
        <w:rPr>
          <w:b/>
          <w:bCs/>
        </w:rPr>
      </w:pPr>
    </w:p>
    <w:p w14:paraId="768911AF" w14:textId="3CDE8DE7" w:rsidR="00F8567B" w:rsidRDefault="00735903" w:rsidP="00BB3D3F">
      <w:r>
        <w:t xml:space="preserve">Women make up </w:t>
      </w:r>
      <w:r w:rsidR="005C0C18">
        <w:t xml:space="preserve">just </w:t>
      </w:r>
      <w:r>
        <w:t>15.1% of partners in financial service</w:t>
      </w:r>
      <w:r w:rsidR="003E1D25">
        <w:t>s</w:t>
      </w:r>
      <w:r>
        <w:t xml:space="preserve"> partnerships</w:t>
      </w:r>
      <w:r w:rsidR="761A52FD">
        <w:t xml:space="preserve"> in the UK</w:t>
      </w:r>
      <w:r w:rsidR="008C5A38">
        <w:t>,</w:t>
      </w:r>
      <w:r w:rsidR="287383EA">
        <w:t xml:space="preserve"> including private equity and hedge funds</w:t>
      </w:r>
      <w:r w:rsidR="00131087">
        <w:t xml:space="preserve"> </w:t>
      </w:r>
      <w:r w:rsidR="2EE2C56E">
        <w:t>-</w:t>
      </w:r>
      <w:r w:rsidR="4642C552">
        <w:t xml:space="preserve"> </w:t>
      </w:r>
      <w:r w:rsidR="10900F02">
        <w:t xml:space="preserve">virtually unchanged </w:t>
      </w:r>
      <w:r w:rsidR="2BAB24AC">
        <w:t>from 14.8%</w:t>
      </w:r>
      <w:r w:rsidR="008C5A38">
        <w:t xml:space="preserve"> the previous year, says Fox &amp; Partners, the employment and partnership law specialists</w:t>
      </w:r>
      <w:r w:rsidR="00BF2C11">
        <w:t xml:space="preserve">. </w:t>
      </w:r>
    </w:p>
    <w:p w14:paraId="5ACB4A72" w14:textId="77777777" w:rsidR="00EC6F75" w:rsidRDefault="00EC6F75" w:rsidP="00BB3D3F"/>
    <w:p w14:paraId="6281A0D8" w14:textId="11A23CDD" w:rsidR="00E41255" w:rsidRDefault="005A6E47" w:rsidP="00BB3D3F">
      <w:r>
        <w:t xml:space="preserve">Whilst the proportion </w:t>
      </w:r>
      <w:r w:rsidR="00981998">
        <w:t>of</w:t>
      </w:r>
      <w:r>
        <w:t xml:space="preserve"> female</w:t>
      </w:r>
      <w:r w:rsidR="00981998">
        <w:t xml:space="preserve"> </w:t>
      </w:r>
      <w:r w:rsidR="00581FF5">
        <w:t xml:space="preserve">partners at </w:t>
      </w:r>
      <w:r w:rsidR="00555B5E">
        <w:t xml:space="preserve">private </w:t>
      </w:r>
      <w:r w:rsidR="00C23E98">
        <w:t>equity,</w:t>
      </w:r>
      <w:r w:rsidR="004C084F">
        <w:t xml:space="preserve"> hedge fund and other </w:t>
      </w:r>
      <w:r w:rsidR="009106A0">
        <w:t xml:space="preserve">financial service partnerships, </w:t>
      </w:r>
      <w:r w:rsidR="00581FF5">
        <w:t>has incr</w:t>
      </w:r>
      <w:r w:rsidR="00001FD4">
        <w:t>eased</w:t>
      </w:r>
      <w:r w:rsidR="00A57C2C">
        <w:t xml:space="preserve"> </w:t>
      </w:r>
      <w:r>
        <w:t>in recent years</w:t>
      </w:r>
      <w:r w:rsidR="00581FF5">
        <w:t xml:space="preserve">, </w:t>
      </w:r>
      <w:r>
        <w:t xml:space="preserve">this has been at </w:t>
      </w:r>
      <w:r w:rsidR="00581FF5">
        <w:t>a</w:t>
      </w:r>
      <w:r w:rsidR="003E1D25">
        <w:t xml:space="preserve"> notably </w:t>
      </w:r>
      <w:r w:rsidR="00581FF5">
        <w:t>slow rate</w:t>
      </w:r>
      <w:r w:rsidR="000627DE">
        <w:t xml:space="preserve">. </w:t>
      </w:r>
    </w:p>
    <w:p w14:paraId="52551B60" w14:textId="26080054" w:rsidR="00E41255" w:rsidRDefault="00E41255" w:rsidP="00BB3D3F"/>
    <w:p w14:paraId="1C0150D0" w14:textId="3910E412" w:rsidR="00E41255" w:rsidRDefault="00E41255" w:rsidP="00BB3D3F">
      <w:r>
        <w:t xml:space="preserve">Catriona Watt, Partner at Fox &amp; Partners says if gender parity </w:t>
      </w:r>
      <w:r w:rsidR="05127A85">
        <w:t xml:space="preserve">amongst senior jobs in financial services </w:t>
      </w:r>
      <w:r>
        <w:t xml:space="preserve">is to be a realistic prospect, firms must take bolder actions to create </w:t>
      </w:r>
      <w:r w:rsidR="003E1D25">
        <w:t xml:space="preserve">a </w:t>
      </w:r>
      <w:r>
        <w:t>working culture in which women are supported</w:t>
      </w:r>
      <w:r w:rsidR="003E1D25">
        <w:t xml:space="preserve"> and can thrive</w:t>
      </w:r>
      <w:r>
        <w:t>. It is not enough to appoint more women at partner level as firms will likely struggle with retention if the culture isn’t right.</w:t>
      </w:r>
    </w:p>
    <w:p w14:paraId="53ABB9C7" w14:textId="77777777" w:rsidR="009A320D" w:rsidRPr="008061A5" w:rsidRDefault="009A320D" w:rsidP="00BB3D3F">
      <w:pPr>
        <w:rPr>
          <w:color w:val="000000" w:themeColor="text1"/>
        </w:rPr>
      </w:pPr>
    </w:p>
    <w:p w14:paraId="4D5599B5" w14:textId="3A10B095" w:rsidR="00C51679" w:rsidRPr="008061A5" w:rsidRDefault="00E41255" w:rsidP="00BB3D3F">
      <w:pPr>
        <w:rPr>
          <w:color w:val="000000" w:themeColor="text1"/>
        </w:rPr>
      </w:pPr>
      <w:r w:rsidRPr="408AC0EA">
        <w:rPr>
          <w:color w:val="000000" w:themeColor="text1"/>
        </w:rPr>
        <w:t xml:space="preserve">Catriona Watt says </w:t>
      </w:r>
      <w:r w:rsidR="77591843" w:rsidRPr="408AC0EA">
        <w:rPr>
          <w:color w:val="000000" w:themeColor="text1"/>
        </w:rPr>
        <w:t xml:space="preserve">private equity </w:t>
      </w:r>
      <w:r w:rsidR="203A1BB6" w:rsidRPr="408AC0EA">
        <w:rPr>
          <w:color w:val="000000" w:themeColor="text1"/>
        </w:rPr>
        <w:t>funds</w:t>
      </w:r>
      <w:r w:rsidR="77591843" w:rsidRPr="408AC0EA">
        <w:rPr>
          <w:color w:val="000000" w:themeColor="text1"/>
        </w:rPr>
        <w:t xml:space="preserve"> </w:t>
      </w:r>
      <w:r w:rsidRPr="408AC0EA">
        <w:rPr>
          <w:color w:val="000000" w:themeColor="text1"/>
        </w:rPr>
        <w:t xml:space="preserve">have come under pressure in recent years </w:t>
      </w:r>
      <w:r w:rsidR="00C51679" w:rsidRPr="408AC0EA">
        <w:rPr>
          <w:color w:val="000000" w:themeColor="text1"/>
        </w:rPr>
        <w:t xml:space="preserve">to narrow gender representation gaps, as institutional investors </w:t>
      </w:r>
      <w:r w:rsidR="003E1D25">
        <w:rPr>
          <w:color w:val="000000" w:themeColor="text1"/>
        </w:rPr>
        <w:t>have a greater interest in</w:t>
      </w:r>
      <w:r w:rsidR="7EABE420" w:rsidRPr="408AC0EA">
        <w:rPr>
          <w:color w:val="000000" w:themeColor="text1"/>
        </w:rPr>
        <w:t xml:space="preserve"> the</w:t>
      </w:r>
      <w:r w:rsidR="00C51679" w:rsidRPr="408AC0EA">
        <w:rPr>
          <w:color w:val="000000" w:themeColor="text1"/>
        </w:rPr>
        <w:t xml:space="preserve"> diversity and inclusion</w:t>
      </w:r>
      <w:r w:rsidR="238F0BA4" w:rsidRPr="408AC0EA">
        <w:rPr>
          <w:color w:val="000000" w:themeColor="text1"/>
        </w:rPr>
        <w:t xml:space="preserve"> </w:t>
      </w:r>
      <w:r w:rsidR="3EB3558C" w:rsidRPr="408AC0EA">
        <w:rPr>
          <w:color w:val="000000" w:themeColor="text1"/>
        </w:rPr>
        <w:t>of th</w:t>
      </w:r>
      <w:r w:rsidR="003E1D25">
        <w:rPr>
          <w:color w:val="000000" w:themeColor="text1"/>
        </w:rPr>
        <w:t>ose</w:t>
      </w:r>
      <w:r w:rsidR="3EB3558C" w:rsidRPr="408AC0EA">
        <w:rPr>
          <w:color w:val="000000" w:themeColor="text1"/>
        </w:rPr>
        <w:t xml:space="preserve"> </w:t>
      </w:r>
      <w:r w:rsidR="003E1D25">
        <w:rPr>
          <w:color w:val="000000" w:themeColor="text1"/>
        </w:rPr>
        <w:t>firms</w:t>
      </w:r>
      <w:r w:rsidR="003E1D25" w:rsidRPr="408AC0EA">
        <w:rPr>
          <w:color w:val="000000" w:themeColor="text1"/>
        </w:rPr>
        <w:t xml:space="preserve"> </w:t>
      </w:r>
      <w:r w:rsidR="3EB3558C" w:rsidRPr="408AC0EA">
        <w:rPr>
          <w:color w:val="000000" w:themeColor="text1"/>
        </w:rPr>
        <w:t>that manage their funds</w:t>
      </w:r>
      <w:r w:rsidR="00C51679" w:rsidRPr="408AC0EA">
        <w:rPr>
          <w:color w:val="000000" w:themeColor="text1"/>
        </w:rPr>
        <w:t xml:space="preserve">. </w:t>
      </w:r>
      <w:r w:rsidR="1F597188" w:rsidRPr="408AC0EA">
        <w:rPr>
          <w:color w:val="000000" w:themeColor="text1"/>
        </w:rPr>
        <w:t>Investment f</w:t>
      </w:r>
      <w:r w:rsidR="00C51679" w:rsidRPr="408AC0EA">
        <w:rPr>
          <w:color w:val="000000" w:themeColor="text1"/>
        </w:rPr>
        <w:t>irms with poor</w:t>
      </w:r>
      <w:r w:rsidR="00531AA2">
        <w:rPr>
          <w:color w:val="000000" w:themeColor="text1"/>
        </w:rPr>
        <w:t>er</w:t>
      </w:r>
      <w:r w:rsidR="00C51679" w:rsidRPr="408AC0EA">
        <w:rPr>
          <w:color w:val="000000" w:themeColor="text1"/>
        </w:rPr>
        <w:t xml:space="preserve"> credentials may </w:t>
      </w:r>
      <w:r w:rsidR="003E1D25">
        <w:rPr>
          <w:color w:val="000000" w:themeColor="text1"/>
        </w:rPr>
        <w:t xml:space="preserve">start to </w:t>
      </w:r>
      <w:r w:rsidR="00C51679" w:rsidRPr="408AC0EA">
        <w:rPr>
          <w:color w:val="000000" w:themeColor="text1"/>
        </w:rPr>
        <w:t>struggle to attract investment</w:t>
      </w:r>
      <w:r w:rsidR="00E10D43" w:rsidRPr="408AC0EA">
        <w:rPr>
          <w:color w:val="000000" w:themeColor="text1"/>
        </w:rPr>
        <w:t>s</w:t>
      </w:r>
      <w:r w:rsidR="610C2AAC" w:rsidRPr="408AC0EA">
        <w:rPr>
          <w:color w:val="000000" w:themeColor="text1"/>
        </w:rPr>
        <w:t xml:space="preserve"> from those</w:t>
      </w:r>
      <w:r w:rsidR="51A30B75" w:rsidRPr="408AC0EA">
        <w:rPr>
          <w:color w:val="000000" w:themeColor="text1"/>
        </w:rPr>
        <w:t xml:space="preserve"> institutional investors</w:t>
      </w:r>
      <w:r w:rsidR="610C2AAC" w:rsidRPr="408AC0EA">
        <w:rPr>
          <w:color w:val="000000" w:themeColor="text1"/>
        </w:rPr>
        <w:t xml:space="preserve"> </w:t>
      </w:r>
      <w:r w:rsidR="6364BC57" w:rsidRPr="408AC0EA">
        <w:rPr>
          <w:color w:val="000000" w:themeColor="text1"/>
        </w:rPr>
        <w:t>who</w:t>
      </w:r>
      <w:r w:rsidR="7428D087" w:rsidRPr="408AC0EA">
        <w:rPr>
          <w:color w:val="000000" w:themeColor="text1"/>
        </w:rPr>
        <w:t xml:space="preserve"> now look at gender diversity</w:t>
      </w:r>
      <w:r w:rsidR="003E1D25">
        <w:rPr>
          <w:color w:val="000000" w:themeColor="text1"/>
        </w:rPr>
        <w:t>, amongst other aspects,</w:t>
      </w:r>
      <w:r w:rsidR="7428D087" w:rsidRPr="408AC0EA">
        <w:rPr>
          <w:color w:val="000000" w:themeColor="text1"/>
        </w:rPr>
        <w:t xml:space="preserve"> as </w:t>
      </w:r>
      <w:r w:rsidR="00531AA2">
        <w:rPr>
          <w:color w:val="000000" w:themeColor="text1"/>
        </w:rPr>
        <w:t xml:space="preserve">an important </w:t>
      </w:r>
      <w:r w:rsidR="7428D087" w:rsidRPr="408AC0EA">
        <w:rPr>
          <w:color w:val="000000" w:themeColor="text1"/>
        </w:rPr>
        <w:t xml:space="preserve">part </w:t>
      </w:r>
      <w:r w:rsidR="00531AA2">
        <w:rPr>
          <w:color w:val="000000" w:themeColor="text1"/>
        </w:rPr>
        <w:t>in</w:t>
      </w:r>
      <w:r w:rsidR="7428D087" w:rsidRPr="408AC0EA">
        <w:rPr>
          <w:color w:val="000000" w:themeColor="text1"/>
        </w:rPr>
        <w:t xml:space="preserve"> the process of picking a</w:t>
      </w:r>
      <w:r w:rsidR="11A5B00D" w:rsidRPr="408AC0EA">
        <w:rPr>
          <w:color w:val="000000" w:themeColor="text1"/>
        </w:rPr>
        <w:t xml:space="preserve"> fund management firm</w:t>
      </w:r>
      <w:r w:rsidR="00C51679" w:rsidRPr="408AC0EA">
        <w:rPr>
          <w:color w:val="000000" w:themeColor="text1"/>
        </w:rPr>
        <w:t xml:space="preserve"> </w:t>
      </w:r>
    </w:p>
    <w:p w14:paraId="7BCB8C3A" w14:textId="77777777" w:rsidR="00C51679" w:rsidRPr="008061A5" w:rsidRDefault="00C51679" w:rsidP="00BB3D3F">
      <w:pPr>
        <w:rPr>
          <w:color w:val="000000" w:themeColor="text1"/>
        </w:rPr>
      </w:pPr>
    </w:p>
    <w:p w14:paraId="3C959E57" w14:textId="18059931" w:rsidR="007B2B18" w:rsidRPr="008061A5" w:rsidRDefault="005A6E47" w:rsidP="00BB3D3F">
      <w:pPr>
        <w:rPr>
          <w:color w:val="000000" w:themeColor="text1"/>
        </w:rPr>
      </w:pPr>
      <w:r w:rsidRPr="408AC0EA">
        <w:rPr>
          <w:color w:val="000000" w:themeColor="text1"/>
        </w:rPr>
        <w:t>Unlike</w:t>
      </w:r>
      <w:r w:rsidR="4006FEEF" w:rsidRPr="408AC0EA">
        <w:rPr>
          <w:color w:val="000000" w:themeColor="text1"/>
        </w:rPr>
        <w:t xml:space="preserve"> stock market listed financial services businesses such as banks</w:t>
      </w:r>
      <w:r w:rsidRPr="408AC0EA">
        <w:rPr>
          <w:color w:val="000000" w:themeColor="text1"/>
        </w:rPr>
        <w:t>, h</w:t>
      </w:r>
      <w:r w:rsidR="00C51679" w:rsidRPr="408AC0EA">
        <w:rPr>
          <w:color w:val="000000" w:themeColor="text1"/>
        </w:rPr>
        <w:t>edge funds</w:t>
      </w:r>
      <w:r w:rsidR="1411AAC8" w:rsidRPr="408AC0EA">
        <w:rPr>
          <w:color w:val="000000" w:themeColor="text1"/>
        </w:rPr>
        <w:t xml:space="preserve"> and PE funds</w:t>
      </w:r>
      <w:r w:rsidR="00C51679" w:rsidRPr="408AC0EA">
        <w:rPr>
          <w:color w:val="000000" w:themeColor="text1"/>
        </w:rPr>
        <w:t xml:space="preserve"> </w:t>
      </w:r>
      <w:r w:rsidR="1956838E" w:rsidRPr="408AC0EA">
        <w:rPr>
          <w:color w:val="000000" w:themeColor="text1"/>
        </w:rPr>
        <w:t xml:space="preserve">have not historically been </w:t>
      </w:r>
      <w:r w:rsidR="00C51679" w:rsidRPr="408AC0EA">
        <w:rPr>
          <w:color w:val="000000" w:themeColor="text1"/>
        </w:rPr>
        <w:t xml:space="preserve">subject to the same levels of </w:t>
      </w:r>
      <w:r w:rsidR="00B432A4" w:rsidRPr="408AC0EA">
        <w:rPr>
          <w:color w:val="000000" w:themeColor="text1"/>
        </w:rPr>
        <w:t xml:space="preserve">external </w:t>
      </w:r>
      <w:r w:rsidR="00C51679" w:rsidRPr="408AC0EA">
        <w:rPr>
          <w:color w:val="000000" w:themeColor="text1"/>
        </w:rPr>
        <w:t>scrutiny</w:t>
      </w:r>
      <w:r w:rsidR="00B432A4" w:rsidRPr="408AC0EA">
        <w:rPr>
          <w:color w:val="000000" w:themeColor="text1"/>
        </w:rPr>
        <w:t xml:space="preserve"> when it comes to</w:t>
      </w:r>
      <w:r w:rsidR="586D8BCF" w:rsidRPr="408AC0EA">
        <w:rPr>
          <w:color w:val="000000" w:themeColor="text1"/>
        </w:rPr>
        <w:t xml:space="preserve"> boardroom diversity</w:t>
      </w:r>
      <w:r w:rsidR="00B432A4" w:rsidRPr="408AC0EA">
        <w:rPr>
          <w:color w:val="000000" w:themeColor="text1"/>
        </w:rPr>
        <w:t>.</w:t>
      </w:r>
      <w:r w:rsidR="00C51679" w:rsidRPr="408AC0EA">
        <w:rPr>
          <w:color w:val="000000" w:themeColor="text1"/>
        </w:rPr>
        <w:t xml:space="preserve"> </w:t>
      </w:r>
      <w:r w:rsidR="00531AA2">
        <w:rPr>
          <w:color w:val="000000" w:themeColor="text1"/>
        </w:rPr>
        <w:t>It may p</w:t>
      </w:r>
      <w:r w:rsidR="003E1D25">
        <w:rPr>
          <w:color w:val="000000" w:themeColor="text1"/>
        </w:rPr>
        <w:t xml:space="preserve">artly </w:t>
      </w:r>
      <w:r w:rsidR="00531AA2">
        <w:rPr>
          <w:color w:val="000000" w:themeColor="text1"/>
        </w:rPr>
        <w:t xml:space="preserve">be </w:t>
      </w:r>
      <w:r w:rsidR="003E1D25">
        <w:rPr>
          <w:color w:val="000000" w:themeColor="text1"/>
        </w:rPr>
        <w:t>as a result of this</w:t>
      </w:r>
      <w:r w:rsidR="00C26B37">
        <w:rPr>
          <w:color w:val="000000" w:themeColor="text1"/>
        </w:rPr>
        <w:t>,</w:t>
      </w:r>
      <w:r w:rsidR="003E1D25">
        <w:rPr>
          <w:color w:val="000000" w:themeColor="text1"/>
        </w:rPr>
        <w:t xml:space="preserve"> </w:t>
      </w:r>
      <w:r w:rsidR="00531AA2">
        <w:rPr>
          <w:color w:val="000000" w:themeColor="text1"/>
        </w:rPr>
        <w:t xml:space="preserve">that </w:t>
      </w:r>
      <w:r w:rsidR="007678B1" w:rsidRPr="408AC0EA">
        <w:rPr>
          <w:color w:val="000000" w:themeColor="text1"/>
        </w:rPr>
        <w:t xml:space="preserve">progress within these firms in </w:t>
      </w:r>
      <w:r w:rsidRPr="408AC0EA">
        <w:rPr>
          <w:color w:val="000000" w:themeColor="text1"/>
        </w:rPr>
        <w:t xml:space="preserve">improving </w:t>
      </w:r>
      <w:r w:rsidR="00C51679" w:rsidRPr="408AC0EA">
        <w:rPr>
          <w:color w:val="000000" w:themeColor="text1"/>
        </w:rPr>
        <w:t>gender diversity</w:t>
      </w:r>
      <w:r w:rsidR="00131087">
        <w:rPr>
          <w:color w:val="000000" w:themeColor="text1"/>
        </w:rPr>
        <w:t xml:space="preserve"> at</w:t>
      </w:r>
      <w:r w:rsidR="072B24A6" w:rsidRPr="408AC0EA">
        <w:rPr>
          <w:color w:val="000000" w:themeColor="text1"/>
        </w:rPr>
        <w:t xml:space="preserve"> senior management </w:t>
      </w:r>
      <w:r w:rsidR="00131087">
        <w:rPr>
          <w:color w:val="000000" w:themeColor="text1"/>
        </w:rPr>
        <w:t xml:space="preserve">level </w:t>
      </w:r>
      <w:r w:rsidRPr="408AC0EA">
        <w:rPr>
          <w:color w:val="000000" w:themeColor="text1"/>
        </w:rPr>
        <w:t xml:space="preserve">has </w:t>
      </w:r>
      <w:r w:rsidR="007678B1" w:rsidRPr="408AC0EA">
        <w:rPr>
          <w:color w:val="000000" w:themeColor="text1"/>
        </w:rPr>
        <w:t>been slow</w:t>
      </w:r>
      <w:r w:rsidR="00C51679" w:rsidRPr="408AC0EA">
        <w:rPr>
          <w:color w:val="000000" w:themeColor="text1"/>
        </w:rPr>
        <w:t xml:space="preserve">.  </w:t>
      </w:r>
    </w:p>
    <w:p w14:paraId="36A123E5" w14:textId="0899AC26" w:rsidR="73317CAC" w:rsidRDefault="73317CAC" w:rsidP="73317CAC">
      <w:pPr>
        <w:rPr>
          <w:color w:val="000000" w:themeColor="text1"/>
        </w:rPr>
      </w:pPr>
    </w:p>
    <w:p w14:paraId="3350EFC2" w14:textId="6D22E728" w:rsidR="624613F8" w:rsidRDefault="624613F8" w:rsidP="5E59944C">
      <w:pPr>
        <w:rPr>
          <w:color w:val="000000" w:themeColor="text1"/>
        </w:rPr>
      </w:pPr>
      <w:r w:rsidRPr="408AC0EA">
        <w:rPr>
          <w:color w:val="000000" w:themeColor="text1"/>
        </w:rPr>
        <w:t xml:space="preserve">As PE funds and alternative asset classes become increasingly </w:t>
      </w:r>
      <w:r w:rsidR="47FF1CF5" w:rsidRPr="408AC0EA">
        <w:rPr>
          <w:color w:val="000000" w:themeColor="text1"/>
        </w:rPr>
        <w:t>important</w:t>
      </w:r>
      <w:r w:rsidR="0DE4A581" w:rsidRPr="408AC0EA">
        <w:rPr>
          <w:color w:val="000000" w:themeColor="text1"/>
        </w:rPr>
        <w:t xml:space="preserve"> to the UK’s financial services sector, </w:t>
      </w:r>
      <w:r w:rsidR="2E0DF728" w:rsidRPr="408AC0EA">
        <w:rPr>
          <w:color w:val="000000" w:themeColor="text1"/>
        </w:rPr>
        <w:t xml:space="preserve">having strong </w:t>
      </w:r>
      <w:r w:rsidR="0DE4A581" w:rsidRPr="408AC0EA">
        <w:rPr>
          <w:color w:val="000000" w:themeColor="text1"/>
        </w:rPr>
        <w:t xml:space="preserve">gender diversity </w:t>
      </w:r>
      <w:r w:rsidR="284FC460" w:rsidRPr="408AC0EA">
        <w:rPr>
          <w:color w:val="000000" w:themeColor="text1"/>
        </w:rPr>
        <w:t xml:space="preserve">credentials </w:t>
      </w:r>
      <w:r w:rsidR="0DE4A581" w:rsidRPr="408AC0EA">
        <w:rPr>
          <w:color w:val="000000" w:themeColor="text1"/>
        </w:rPr>
        <w:t>across all levels</w:t>
      </w:r>
      <w:r w:rsidR="1C5F9A04" w:rsidRPr="408AC0EA">
        <w:rPr>
          <w:color w:val="000000" w:themeColor="text1"/>
        </w:rPr>
        <w:t xml:space="preserve"> will</w:t>
      </w:r>
      <w:r w:rsidR="0DE4A581" w:rsidRPr="408AC0EA">
        <w:rPr>
          <w:color w:val="000000" w:themeColor="text1"/>
        </w:rPr>
        <w:t xml:space="preserve"> </w:t>
      </w:r>
      <w:r w:rsidR="7F77E079" w:rsidRPr="408AC0EA">
        <w:rPr>
          <w:color w:val="000000" w:themeColor="text1"/>
        </w:rPr>
        <w:t xml:space="preserve">become even more critical. </w:t>
      </w:r>
    </w:p>
    <w:p w14:paraId="69E593E5" w14:textId="36A613CD" w:rsidR="5E59944C" w:rsidRDefault="5E59944C" w:rsidP="5E59944C">
      <w:pPr>
        <w:rPr>
          <w:color w:val="000000" w:themeColor="text1"/>
        </w:rPr>
      </w:pPr>
    </w:p>
    <w:p w14:paraId="35780906" w14:textId="14138C0B" w:rsidR="55AD8711" w:rsidRDefault="55AD8711" w:rsidP="5E59944C">
      <w:pPr>
        <w:rPr>
          <w:color w:val="000000" w:themeColor="text1"/>
        </w:rPr>
      </w:pPr>
      <w:r w:rsidRPr="408AC0EA">
        <w:rPr>
          <w:color w:val="000000" w:themeColor="text1"/>
        </w:rPr>
        <w:t xml:space="preserve">Catriona Watt, Partner at Fox &amp; Partners says: “Narrowing the gender representation gap </w:t>
      </w:r>
      <w:r w:rsidR="003E1D25">
        <w:rPr>
          <w:color w:val="000000" w:themeColor="text1"/>
        </w:rPr>
        <w:t>at</w:t>
      </w:r>
      <w:r w:rsidR="003E1D25" w:rsidRPr="408AC0EA">
        <w:rPr>
          <w:color w:val="000000" w:themeColor="text1"/>
        </w:rPr>
        <w:t xml:space="preserve"> </w:t>
      </w:r>
      <w:r w:rsidRPr="408AC0EA">
        <w:rPr>
          <w:color w:val="000000" w:themeColor="text1"/>
        </w:rPr>
        <w:t>senior levels within financial services is slow going. At th</w:t>
      </w:r>
      <w:r w:rsidR="003E1D25">
        <w:rPr>
          <w:color w:val="000000" w:themeColor="text1"/>
        </w:rPr>
        <w:t xml:space="preserve">e current rate </w:t>
      </w:r>
      <w:r w:rsidRPr="408AC0EA">
        <w:rPr>
          <w:color w:val="000000" w:themeColor="text1"/>
        </w:rPr>
        <w:t xml:space="preserve">gender equality </w:t>
      </w:r>
      <w:r w:rsidR="003E1D25">
        <w:rPr>
          <w:color w:val="000000" w:themeColor="text1"/>
        </w:rPr>
        <w:t xml:space="preserve">is unlikely </w:t>
      </w:r>
      <w:proofErr w:type="spellStart"/>
      <w:r w:rsidR="003E1D25">
        <w:rPr>
          <w:color w:val="000000" w:themeColor="text1"/>
        </w:rPr>
        <w:t>to</w:t>
      </w:r>
      <w:r w:rsidRPr="408AC0EA">
        <w:rPr>
          <w:color w:val="000000" w:themeColor="text1"/>
        </w:rPr>
        <w:t>happen</w:t>
      </w:r>
      <w:proofErr w:type="spellEnd"/>
      <w:r w:rsidR="34A5DED5" w:rsidRPr="408AC0EA">
        <w:rPr>
          <w:color w:val="000000" w:themeColor="text1"/>
        </w:rPr>
        <w:t xml:space="preserve"> for decades</w:t>
      </w:r>
      <w:r w:rsidRPr="408AC0EA">
        <w:rPr>
          <w:color w:val="000000" w:themeColor="text1"/>
        </w:rPr>
        <w:t xml:space="preserve">.” </w:t>
      </w:r>
    </w:p>
    <w:p w14:paraId="421DB33C" w14:textId="107B446C" w:rsidR="5E59944C" w:rsidRDefault="5E59944C" w:rsidP="5E59944C">
      <w:pPr>
        <w:rPr>
          <w:color w:val="000000" w:themeColor="text1"/>
        </w:rPr>
      </w:pPr>
    </w:p>
    <w:p w14:paraId="5FBF1EC0" w14:textId="30BF9D62" w:rsidR="5E59944C" w:rsidRDefault="55AD8711" w:rsidP="5E59944C">
      <w:pPr>
        <w:rPr>
          <w:color w:val="000000" w:themeColor="text1"/>
        </w:rPr>
      </w:pPr>
      <w:r w:rsidRPr="408AC0EA">
        <w:rPr>
          <w:color w:val="000000" w:themeColor="text1"/>
        </w:rPr>
        <w:t>“</w:t>
      </w:r>
      <w:r w:rsidR="25227C70" w:rsidRPr="408AC0EA">
        <w:rPr>
          <w:color w:val="000000" w:themeColor="text1"/>
        </w:rPr>
        <w:t>Poor diversity at the boardroom level</w:t>
      </w:r>
      <w:r w:rsidR="13F8516E" w:rsidRPr="408AC0EA">
        <w:rPr>
          <w:color w:val="000000" w:themeColor="text1"/>
        </w:rPr>
        <w:t xml:space="preserve"> </w:t>
      </w:r>
      <w:r w:rsidRPr="408AC0EA">
        <w:rPr>
          <w:color w:val="000000" w:themeColor="text1"/>
        </w:rPr>
        <w:t>can be a vicious c</w:t>
      </w:r>
      <w:r w:rsidR="003E1D25">
        <w:rPr>
          <w:color w:val="000000" w:themeColor="text1"/>
        </w:rPr>
        <w:t>ycle</w:t>
      </w:r>
      <w:r w:rsidRPr="408AC0EA">
        <w:rPr>
          <w:color w:val="000000" w:themeColor="text1"/>
        </w:rPr>
        <w:t xml:space="preserve">. Women may be less motivated to join a new firm if it doesn’t already have senior female leaders in place. This highlights the importance of cultivating and supporting existing female </w:t>
      </w:r>
      <w:r w:rsidRPr="408AC0EA">
        <w:rPr>
          <w:color w:val="000000" w:themeColor="text1"/>
        </w:rPr>
        <w:lastRenderedPageBreak/>
        <w:t>employees so that they can become the next generation of leaders</w:t>
      </w:r>
      <w:r w:rsidR="00531AA2">
        <w:rPr>
          <w:color w:val="000000" w:themeColor="text1"/>
        </w:rPr>
        <w:t xml:space="preserve"> and also put in place measures to attract women to the sector in the first place</w:t>
      </w:r>
      <w:r w:rsidRPr="408AC0EA">
        <w:rPr>
          <w:color w:val="000000" w:themeColor="text1"/>
        </w:rPr>
        <w:t>.”</w:t>
      </w:r>
    </w:p>
    <w:p w14:paraId="45BF0B4A" w14:textId="77777777" w:rsidR="00E55A62" w:rsidRDefault="00E55A62" w:rsidP="00BB3D3F"/>
    <w:p w14:paraId="71FFC504" w14:textId="68339691" w:rsidR="00EA0F18" w:rsidRDefault="00B432A4" w:rsidP="00BB3D3F">
      <w:r>
        <w:t>Catriona Watt</w:t>
      </w:r>
      <w:r w:rsidR="009049E1">
        <w:t xml:space="preserve"> says disparities in gender </w:t>
      </w:r>
      <w:r w:rsidR="00132523">
        <w:t xml:space="preserve">representation </w:t>
      </w:r>
      <w:r w:rsidR="00C8782B">
        <w:t>could</w:t>
      </w:r>
      <w:r w:rsidR="00403C15">
        <w:t xml:space="preserve"> </w:t>
      </w:r>
      <w:r w:rsidR="007678B1">
        <w:t>potentially</w:t>
      </w:r>
      <w:r w:rsidR="00C8782B">
        <w:t xml:space="preserve"> lead to questions about sex discrimination </w:t>
      </w:r>
      <w:r w:rsidR="0025473A">
        <w:t xml:space="preserve">and </w:t>
      </w:r>
      <w:r w:rsidR="00F56AAB">
        <w:t xml:space="preserve">equal pay. </w:t>
      </w:r>
      <w:r w:rsidR="00F33697">
        <w:t xml:space="preserve">Having </w:t>
      </w:r>
      <w:r w:rsidR="007678B1">
        <w:t xml:space="preserve">disproportionately </w:t>
      </w:r>
      <w:r w:rsidR="00F33697">
        <w:t>few</w:t>
      </w:r>
      <w:r w:rsidR="00C26B37">
        <w:t>er</w:t>
      </w:r>
      <w:r w:rsidR="00F33697">
        <w:t xml:space="preserve"> </w:t>
      </w:r>
      <w:r w:rsidR="00AB0262">
        <w:t>females in</w:t>
      </w:r>
      <w:r w:rsidR="002E0BD8">
        <w:t xml:space="preserve"> senior positions could be indi</w:t>
      </w:r>
      <w:r w:rsidR="004C7097">
        <w:t>cative of systematic</w:t>
      </w:r>
      <w:r w:rsidR="00F33697">
        <w:t xml:space="preserve"> </w:t>
      </w:r>
      <w:r w:rsidR="00C26B37">
        <w:t xml:space="preserve">issues and firms would do well to examine and address the likely reasons for this. </w:t>
      </w:r>
      <w:r w:rsidR="001D61E6">
        <w:t xml:space="preserve">. </w:t>
      </w:r>
      <w:r w:rsidR="004C7097">
        <w:t xml:space="preserve"> </w:t>
      </w:r>
    </w:p>
    <w:p w14:paraId="1B198448" w14:textId="77777777" w:rsidR="00B03DC6" w:rsidRDefault="00B03DC6" w:rsidP="00BB3D3F"/>
    <w:p w14:paraId="36FE3A71" w14:textId="5FD67589" w:rsidR="00B432A4" w:rsidRDefault="006317D0" w:rsidP="00BB3D3F">
      <w:r>
        <w:t xml:space="preserve">If firms want to </w:t>
      </w:r>
      <w:r w:rsidR="00B432A4">
        <w:t>improve</w:t>
      </w:r>
      <w:r w:rsidR="00B94BDF">
        <w:t xml:space="preserve"> gender </w:t>
      </w:r>
      <w:r w:rsidR="002A2DA6">
        <w:t>diversity</w:t>
      </w:r>
      <w:r w:rsidR="00B432A4">
        <w:t xml:space="preserve"> at senior levels</w:t>
      </w:r>
      <w:r w:rsidR="00B94BDF">
        <w:t xml:space="preserve">, </w:t>
      </w:r>
      <w:r>
        <w:t>they should</w:t>
      </w:r>
      <w:r w:rsidR="00636181">
        <w:t xml:space="preserve"> </w:t>
      </w:r>
      <w:r w:rsidR="00B432A4">
        <w:t xml:space="preserve">focus on creating inclusive workplaces </w:t>
      </w:r>
      <w:r w:rsidR="00531AA2">
        <w:t xml:space="preserve">which attract women in the first place and </w:t>
      </w:r>
      <w:r w:rsidR="00B432A4">
        <w:t>where women are able to excel. Fox &amp; Partners say</w:t>
      </w:r>
      <w:r w:rsidR="0088230D">
        <w:t>s action firms can take include:</w:t>
      </w:r>
    </w:p>
    <w:p w14:paraId="0A0440D4" w14:textId="77777777" w:rsidR="00017DFF" w:rsidRDefault="00017DFF" w:rsidP="00BB3D3F"/>
    <w:p w14:paraId="39250EF4" w14:textId="4CF03E63" w:rsidR="00076956" w:rsidRDefault="002A03A4" w:rsidP="00017DFF">
      <w:pPr>
        <w:pStyle w:val="ListParagraph"/>
        <w:numPr>
          <w:ilvl w:val="0"/>
          <w:numId w:val="1"/>
        </w:numPr>
      </w:pPr>
      <w:r>
        <w:t>Implement</w:t>
      </w:r>
      <w:r w:rsidR="00DF1328">
        <w:t>ing a mentor</w:t>
      </w:r>
      <w:r w:rsidR="00AE212B">
        <w:t>ing</w:t>
      </w:r>
      <w:r w:rsidR="00531AA2">
        <w:t>/championing</w:t>
      </w:r>
      <w:r w:rsidR="00AE212B">
        <w:t xml:space="preserve"> scheme </w:t>
      </w:r>
      <w:r w:rsidR="000D4683">
        <w:t xml:space="preserve">that </w:t>
      </w:r>
      <w:r w:rsidR="00531AA2">
        <w:t xml:space="preserve">supports </w:t>
      </w:r>
      <w:r w:rsidR="00535ED0">
        <w:t xml:space="preserve">women </w:t>
      </w:r>
      <w:r w:rsidR="00531AA2">
        <w:t>in</w:t>
      </w:r>
      <w:r w:rsidR="00535ED0">
        <w:t xml:space="preserve"> progress</w:t>
      </w:r>
      <w:r w:rsidR="00531AA2">
        <w:t xml:space="preserve">ing either from </w:t>
      </w:r>
      <w:r w:rsidR="00535ED0">
        <w:t xml:space="preserve">middle management to more senior roles </w:t>
      </w:r>
      <w:r w:rsidR="00531AA2">
        <w:t xml:space="preserve">or on a leadership fast-track scheme </w:t>
      </w:r>
    </w:p>
    <w:p w14:paraId="74930F49" w14:textId="1443A430" w:rsidR="007678B1" w:rsidRDefault="007678B1" w:rsidP="00017DFF">
      <w:pPr>
        <w:pStyle w:val="ListParagraph"/>
        <w:numPr>
          <w:ilvl w:val="0"/>
          <w:numId w:val="1"/>
        </w:numPr>
      </w:pPr>
      <w:r>
        <w:t>Ensuring that diversity initiatives and messaging around these are echoed across all levels of the business, from the top down</w:t>
      </w:r>
      <w:r w:rsidR="00531AA2">
        <w:t>. The firm shoul</w:t>
      </w:r>
      <w:r w:rsidR="006317D0">
        <w:t>d walk the walk</w:t>
      </w:r>
      <w:r w:rsidR="00531AA2">
        <w:t xml:space="preserve"> </w:t>
      </w:r>
    </w:p>
    <w:p w14:paraId="305A3CE4" w14:textId="72EC0445" w:rsidR="00535ED0" w:rsidRDefault="007678B1" w:rsidP="00017DFF">
      <w:pPr>
        <w:pStyle w:val="ListParagraph"/>
        <w:numPr>
          <w:ilvl w:val="0"/>
          <w:numId w:val="1"/>
        </w:numPr>
      </w:pPr>
      <w:r>
        <w:t>Committing to</w:t>
      </w:r>
      <w:r w:rsidR="00CD648A">
        <w:t xml:space="preserve"> initiatives </w:t>
      </w:r>
      <w:r>
        <w:t>for improving</w:t>
      </w:r>
      <w:r w:rsidR="00E022F8">
        <w:t xml:space="preserve"> gender diversity in</w:t>
      </w:r>
      <w:r w:rsidR="00891416">
        <w:t xml:space="preserve"> </w:t>
      </w:r>
      <w:r w:rsidR="00E022F8">
        <w:t xml:space="preserve">financial services </w:t>
      </w:r>
      <w:r w:rsidR="00896286">
        <w:t>partnerships</w:t>
      </w:r>
      <w:r w:rsidR="00E022F8">
        <w:t xml:space="preserve">, like </w:t>
      </w:r>
      <w:r w:rsidR="006F60CD">
        <w:t xml:space="preserve">Level 20 or the </w:t>
      </w:r>
      <w:r w:rsidR="00E022F8">
        <w:t>Treasury’s Women in Finance Charter</w:t>
      </w:r>
    </w:p>
    <w:p w14:paraId="06489D58" w14:textId="2392FF7A" w:rsidR="3D50C952" w:rsidRDefault="3D50C952" w:rsidP="73317CAC">
      <w:pPr>
        <w:rPr>
          <w:color w:val="000000" w:themeColor="text1"/>
        </w:rPr>
      </w:pPr>
    </w:p>
    <w:p w14:paraId="6BCAA6B8" w14:textId="49DD8793" w:rsidR="0B5049B3" w:rsidRPr="00131087" w:rsidRDefault="2B8912D4" w:rsidP="00131087">
      <w:pPr>
        <w:jc w:val="center"/>
        <w:rPr>
          <w:rFonts w:eastAsia="Arial" w:cs="Arial"/>
          <w:b/>
          <w:bCs/>
          <w:sz w:val="20"/>
          <w:szCs w:val="20"/>
          <w:u w:val="single"/>
        </w:rPr>
      </w:pPr>
      <w:r w:rsidRPr="00131087">
        <w:rPr>
          <w:rFonts w:eastAsia="Arial" w:cs="Arial"/>
          <w:b/>
          <w:bCs/>
          <w:sz w:val="20"/>
          <w:szCs w:val="20"/>
          <w:u w:val="single"/>
        </w:rPr>
        <w:t xml:space="preserve">The percentage of partners </w:t>
      </w:r>
      <w:r w:rsidR="0B5049B3" w:rsidRPr="00131087">
        <w:rPr>
          <w:rFonts w:eastAsia="Arial" w:cs="Arial"/>
          <w:b/>
          <w:bCs/>
          <w:sz w:val="20"/>
          <w:szCs w:val="20"/>
          <w:u w:val="single"/>
        </w:rPr>
        <w:t xml:space="preserve">at financial services partnerships increases by </w:t>
      </w:r>
      <w:r w:rsidR="46BA6EC1" w:rsidRPr="00131087">
        <w:rPr>
          <w:rFonts w:eastAsia="Arial" w:cs="Arial"/>
          <w:b/>
          <w:bCs/>
          <w:sz w:val="20"/>
          <w:szCs w:val="20"/>
          <w:u w:val="single"/>
        </w:rPr>
        <w:t xml:space="preserve">just </w:t>
      </w:r>
      <w:r w:rsidR="0B5049B3" w:rsidRPr="00131087">
        <w:rPr>
          <w:rFonts w:eastAsia="Arial" w:cs="Arial"/>
          <w:b/>
          <w:bCs/>
          <w:sz w:val="20"/>
          <w:szCs w:val="20"/>
          <w:u w:val="single"/>
        </w:rPr>
        <w:t>0.3%</w:t>
      </w:r>
      <w:r w:rsidR="5EE60731" w:rsidRPr="00131087">
        <w:rPr>
          <w:rFonts w:eastAsia="Arial" w:cs="Arial"/>
          <w:b/>
          <w:bCs/>
          <w:sz w:val="20"/>
          <w:szCs w:val="20"/>
          <w:u w:val="single"/>
        </w:rPr>
        <w:t xml:space="preserve"> in a year</w:t>
      </w:r>
    </w:p>
    <w:p w14:paraId="75B5379C" w14:textId="70AD7EB0" w:rsidR="5E59944C" w:rsidRDefault="5E59944C" w:rsidP="5E59944C">
      <w:pPr>
        <w:jc w:val="center"/>
        <w:rPr>
          <w:color w:val="000000" w:themeColor="text1"/>
        </w:rPr>
      </w:pPr>
    </w:p>
    <w:p w14:paraId="41A13BA3" w14:textId="12FAD7AF" w:rsidR="5E59944C" w:rsidRDefault="5E59944C" w:rsidP="5E59944C">
      <w:pPr>
        <w:rPr>
          <w:color w:val="000000" w:themeColor="text1"/>
        </w:rPr>
      </w:pPr>
    </w:p>
    <w:p w14:paraId="36CF1339" w14:textId="4A3B834D" w:rsidR="0B5049B3" w:rsidRDefault="0B5049B3" w:rsidP="00131087">
      <w:pPr>
        <w:jc w:val="center"/>
      </w:pPr>
      <w:r>
        <w:rPr>
          <w:noProof/>
        </w:rPr>
        <w:drawing>
          <wp:inline distT="0" distB="0" distL="0" distR="0" wp14:anchorId="0DB98473" wp14:editId="37D911CF">
            <wp:extent cx="4572000" cy="2838450"/>
            <wp:effectExtent l="0" t="0" r="0" b="0"/>
            <wp:docPr id="144219468" name="Picture 14421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E904" w14:textId="6F51BB4B" w:rsidR="5E59944C" w:rsidRDefault="5E59944C" w:rsidP="5E59944C">
      <w:pPr>
        <w:rPr>
          <w:color w:val="000000" w:themeColor="text1"/>
        </w:rPr>
      </w:pPr>
    </w:p>
    <w:p w14:paraId="045CE495" w14:textId="77777777" w:rsidR="00D14112" w:rsidRDefault="00D14112" w:rsidP="008061A5">
      <w:pPr>
        <w:rPr>
          <w:rFonts w:eastAsia="Lucida Sans" w:cs="Lucida Sans"/>
          <w:b/>
        </w:rPr>
      </w:pPr>
    </w:p>
    <w:p w14:paraId="317B05DE" w14:textId="66026155" w:rsidR="003149A0" w:rsidRPr="00C3797D" w:rsidRDefault="003149A0" w:rsidP="003149A0">
      <w:pPr>
        <w:ind w:hanging="2"/>
        <w:jc w:val="center"/>
        <w:rPr>
          <w:rFonts w:eastAsia="Lucida Sans" w:cs="Lucida Sans"/>
        </w:rPr>
      </w:pPr>
      <w:r w:rsidRPr="00C3797D">
        <w:rPr>
          <w:rFonts w:eastAsia="Lucida Sans" w:cs="Lucida Sans"/>
          <w:b/>
        </w:rPr>
        <w:t>ENDS</w:t>
      </w:r>
    </w:p>
    <w:p w14:paraId="4A2F176D" w14:textId="77777777" w:rsidR="003D38A8" w:rsidRDefault="003D38A8" w:rsidP="008061A5"/>
    <w:p w14:paraId="59CDDDD3" w14:textId="59CDFB49" w:rsidR="003149A0" w:rsidRDefault="003149A0" w:rsidP="003149A0"/>
    <w:sdt>
      <w:sdtPr>
        <w:tag w:val="goog_rdk_129"/>
        <w:id w:val="1753162838"/>
      </w:sdtPr>
      <w:sdtContent>
        <w:p w14:paraId="37417413" w14:textId="77777777" w:rsidR="00676BFC" w:rsidRPr="000D37B4" w:rsidRDefault="00000000" w:rsidP="00676BFC">
          <w:pPr>
            <w:rPr>
              <w:rFonts w:eastAsia="Lucida Sans" w:cs="Lucida Sans"/>
              <w:b/>
              <w:sz w:val="24"/>
              <w:szCs w:val="24"/>
            </w:rPr>
          </w:pPr>
          <w:sdt>
            <w:sdtPr>
              <w:tag w:val="goog_rdk_128"/>
              <w:id w:val="-1918936160"/>
            </w:sdtPr>
            <w:sdtContent>
              <w:r w:rsidR="00676BFC" w:rsidRPr="000D37B4">
                <w:rPr>
                  <w:rFonts w:eastAsia="Lucida Sans" w:cs="Lucida Sans"/>
                  <w:b/>
                  <w:sz w:val="24"/>
                  <w:szCs w:val="24"/>
                </w:rPr>
                <w:t>Press Contact</w:t>
              </w:r>
            </w:sdtContent>
          </w:sdt>
        </w:p>
      </w:sdtContent>
    </w:sdt>
    <w:sdt>
      <w:sdtPr>
        <w:tag w:val="goog_rdk_131"/>
        <w:id w:val="-1062403390"/>
      </w:sdtPr>
      <w:sdtContent>
        <w:p w14:paraId="650EC5CE" w14:textId="77777777" w:rsidR="00676BFC" w:rsidRPr="008061A5" w:rsidRDefault="00000000" w:rsidP="00676BFC">
          <w:pPr>
            <w:rPr>
              <w:rFonts w:eastAsia="Garamond" w:cs="Garamond"/>
            </w:rPr>
          </w:pPr>
          <w:sdt>
            <w:sdtPr>
              <w:tag w:val="goog_rdk_130"/>
              <w:id w:val="1070383689"/>
            </w:sdtPr>
            <w:sdtContent>
              <w:r w:rsidR="00676BFC" w:rsidRPr="008061A5">
                <w:rPr>
                  <w:rFonts w:eastAsia="Garamond" w:cs="Garamond"/>
                </w:rPr>
                <w:t>Catriona Watt</w:t>
              </w:r>
            </w:sdtContent>
          </w:sdt>
        </w:p>
      </w:sdtContent>
    </w:sdt>
    <w:sdt>
      <w:sdtPr>
        <w:tag w:val="goog_rdk_133"/>
        <w:id w:val="-1709865345"/>
      </w:sdtPr>
      <w:sdtContent>
        <w:p w14:paraId="02C765ED" w14:textId="77777777" w:rsidR="00676BFC" w:rsidRPr="008061A5" w:rsidRDefault="00000000" w:rsidP="00676BFC">
          <w:pPr>
            <w:rPr>
              <w:rFonts w:eastAsia="Garamond" w:cs="Garamond"/>
            </w:rPr>
          </w:pPr>
          <w:sdt>
            <w:sdtPr>
              <w:tag w:val="goog_rdk_132"/>
              <w:id w:val="60688847"/>
            </w:sdtPr>
            <w:sdtContent>
              <w:r w:rsidR="00676BFC" w:rsidRPr="008061A5">
                <w:rPr>
                  <w:rFonts w:eastAsia="Garamond" w:cs="Garamond"/>
                </w:rPr>
                <w:t>Partner</w:t>
              </w:r>
            </w:sdtContent>
          </w:sdt>
        </w:p>
      </w:sdtContent>
    </w:sdt>
    <w:sdt>
      <w:sdtPr>
        <w:tag w:val="goog_rdk_135"/>
        <w:id w:val="-678117907"/>
      </w:sdtPr>
      <w:sdtContent>
        <w:p w14:paraId="369DF2C4" w14:textId="77777777" w:rsidR="00676BFC" w:rsidRPr="008061A5" w:rsidRDefault="00000000" w:rsidP="00676BFC">
          <w:pPr>
            <w:rPr>
              <w:rFonts w:eastAsia="Garamond" w:cs="Garamond"/>
            </w:rPr>
          </w:pPr>
          <w:sdt>
            <w:sdtPr>
              <w:tag w:val="goog_rdk_134"/>
              <w:id w:val="503789716"/>
            </w:sdtPr>
            <w:sdtContent>
              <w:r w:rsidR="00676BFC" w:rsidRPr="008061A5">
                <w:rPr>
                  <w:rFonts w:eastAsia="Garamond" w:cs="Garamond"/>
                </w:rPr>
                <w:t>Fox &amp; Partners</w:t>
              </w:r>
            </w:sdtContent>
          </w:sdt>
        </w:p>
      </w:sdtContent>
    </w:sdt>
    <w:sdt>
      <w:sdtPr>
        <w:tag w:val="goog_rdk_137"/>
        <w:id w:val="-1403899725"/>
      </w:sdtPr>
      <w:sdtContent>
        <w:p w14:paraId="64770F7C" w14:textId="77777777" w:rsidR="00676BFC" w:rsidRPr="008061A5" w:rsidRDefault="00000000" w:rsidP="00676BFC">
          <w:pPr>
            <w:rPr>
              <w:rFonts w:eastAsia="Times New Roman" w:cs="Times New Roman"/>
            </w:rPr>
          </w:pPr>
          <w:sdt>
            <w:sdtPr>
              <w:tag w:val="goog_rdk_136"/>
              <w:id w:val="-1711863518"/>
            </w:sdtPr>
            <w:sdtContent>
              <w:r w:rsidR="00676BFC" w:rsidRPr="008061A5">
                <w:rPr>
                  <w:rFonts w:eastAsia="Garamond" w:cs="Garamond"/>
                  <w:color w:val="000000"/>
                </w:rPr>
                <w:t>D: +44 20 7618 2887</w:t>
              </w:r>
            </w:sdtContent>
          </w:sdt>
        </w:p>
      </w:sdtContent>
    </w:sdt>
    <w:sdt>
      <w:sdtPr>
        <w:tag w:val="goog_rdk_139"/>
        <w:id w:val="1654172762"/>
      </w:sdtPr>
      <w:sdtContent>
        <w:p w14:paraId="469A076D" w14:textId="77777777" w:rsidR="00676BFC" w:rsidRPr="008061A5" w:rsidRDefault="00000000" w:rsidP="00676BFC">
          <w:pPr>
            <w:rPr>
              <w:rFonts w:eastAsia="Garamond" w:cs="Garamond"/>
            </w:rPr>
          </w:pPr>
          <w:sdt>
            <w:sdtPr>
              <w:tag w:val="goog_rdk_138"/>
              <w:id w:val="-1513915339"/>
            </w:sdtPr>
            <w:sdtContent>
              <w:r w:rsidR="00676BFC" w:rsidRPr="008061A5">
                <w:rPr>
                  <w:rFonts w:eastAsia="Garamond" w:cs="Garamond"/>
                  <w:color w:val="000000"/>
                </w:rPr>
                <w:t>M: +44 7912 731 883</w:t>
              </w:r>
            </w:sdtContent>
          </w:sdt>
        </w:p>
      </w:sdtContent>
    </w:sdt>
    <w:p w14:paraId="580E4A33" w14:textId="77777777" w:rsidR="00676BFC" w:rsidRPr="008061A5" w:rsidRDefault="00676BFC" w:rsidP="003149A0"/>
    <w:sectPr w:rsidR="00676BFC" w:rsidRPr="0080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863"/>
    <w:multiLevelType w:val="hybridMultilevel"/>
    <w:tmpl w:val="5CFCB062"/>
    <w:lvl w:ilvl="0" w:tplc="A0C4E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93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44"/>
    <w:rsid w:val="00001FD4"/>
    <w:rsid w:val="00007CCC"/>
    <w:rsid w:val="00017DFF"/>
    <w:rsid w:val="000326AB"/>
    <w:rsid w:val="00042137"/>
    <w:rsid w:val="0004695B"/>
    <w:rsid w:val="00056518"/>
    <w:rsid w:val="000627DE"/>
    <w:rsid w:val="00072657"/>
    <w:rsid w:val="00076956"/>
    <w:rsid w:val="000A3780"/>
    <w:rsid w:val="000B015A"/>
    <w:rsid w:val="000B1127"/>
    <w:rsid w:val="000B261B"/>
    <w:rsid w:val="000B2750"/>
    <w:rsid w:val="000D37B4"/>
    <w:rsid w:val="000D3AC1"/>
    <w:rsid w:val="000D4683"/>
    <w:rsid w:val="000D6FAE"/>
    <w:rsid w:val="000D7C4B"/>
    <w:rsid w:val="000E18EA"/>
    <w:rsid w:val="00131087"/>
    <w:rsid w:val="00132523"/>
    <w:rsid w:val="0016755D"/>
    <w:rsid w:val="00171F66"/>
    <w:rsid w:val="00174DEE"/>
    <w:rsid w:val="00174EA4"/>
    <w:rsid w:val="00184B14"/>
    <w:rsid w:val="00184D59"/>
    <w:rsid w:val="00186698"/>
    <w:rsid w:val="00196C91"/>
    <w:rsid w:val="001A2C52"/>
    <w:rsid w:val="001B3A94"/>
    <w:rsid w:val="001C1C1C"/>
    <w:rsid w:val="001C5053"/>
    <w:rsid w:val="001C7738"/>
    <w:rsid w:val="001D61E6"/>
    <w:rsid w:val="002270F8"/>
    <w:rsid w:val="0025473A"/>
    <w:rsid w:val="00276280"/>
    <w:rsid w:val="002828BF"/>
    <w:rsid w:val="00291A7F"/>
    <w:rsid w:val="002A03A4"/>
    <w:rsid w:val="002A2DA6"/>
    <w:rsid w:val="002B75BC"/>
    <w:rsid w:val="002D0237"/>
    <w:rsid w:val="002D04BC"/>
    <w:rsid w:val="002D1BD0"/>
    <w:rsid w:val="002E0BD8"/>
    <w:rsid w:val="002E41C6"/>
    <w:rsid w:val="002E534E"/>
    <w:rsid w:val="00313C0C"/>
    <w:rsid w:val="003149A0"/>
    <w:rsid w:val="00346A83"/>
    <w:rsid w:val="00356035"/>
    <w:rsid w:val="0037721C"/>
    <w:rsid w:val="003A5E5D"/>
    <w:rsid w:val="003A78D5"/>
    <w:rsid w:val="003B2C76"/>
    <w:rsid w:val="003C5FDF"/>
    <w:rsid w:val="003D2D25"/>
    <w:rsid w:val="003D38A8"/>
    <w:rsid w:val="003E0F19"/>
    <w:rsid w:val="003E1D25"/>
    <w:rsid w:val="003E3C69"/>
    <w:rsid w:val="003E40E6"/>
    <w:rsid w:val="003F1A12"/>
    <w:rsid w:val="00403C15"/>
    <w:rsid w:val="004075C5"/>
    <w:rsid w:val="00423348"/>
    <w:rsid w:val="004265E7"/>
    <w:rsid w:val="00435B98"/>
    <w:rsid w:val="00436BF2"/>
    <w:rsid w:val="00440C58"/>
    <w:rsid w:val="0044575B"/>
    <w:rsid w:val="004608BA"/>
    <w:rsid w:val="0046545E"/>
    <w:rsid w:val="00467F48"/>
    <w:rsid w:val="004711ED"/>
    <w:rsid w:val="00482501"/>
    <w:rsid w:val="004907AD"/>
    <w:rsid w:val="004A1EE8"/>
    <w:rsid w:val="004C084F"/>
    <w:rsid w:val="004C12F4"/>
    <w:rsid w:val="004C7097"/>
    <w:rsid w:val="004E1F82"/>
    <w:rsid w:val="004F185B"/>
    <w:rsid w:val="005071FA"/>
    <w:rsid w:val="005129EC"/>
    <w:rsid w:val="00517EE5"/>
    <w:rsid w:val="00521D82"/>
    <w:rsid w:val="00523A97"/>
    <w:rsid w:val="00531AA2"/>
    <w:rsid w:val="00535ED0"/>
    <w:rsid w:val="00536926"/>
    <w:rsid w:val="00542DEB"/>
    <w:rsid w:val="0054325C"/>
    <w:rsid w:val="00545644"/>
    <w:rsid w:val="00547C07"/>
    <w:rsid w:val="00555B5E"/>
    <w:rsid w:val="005635CF"/>
    <w:rsid w:val="00581FF5"/>
    <w:rsid w:val="005828B0"/>
    <w:rsid w:val="005A6E47"/>
    <w:rsid w:val="005B5D58"/>
    <w:rsid w:val="005C0C18"/>
    <w:rsid w:val="005C72A8"/>
    <w:rsid w:val="005E562A"/>
    <w:rsid w:val="005F3983"/>
    <w:rsid w:val="00600CB7"/>
    <w:rsid w:val="00616D82"/>
    <w:rsid w:val="00626F3D"/>
    <w:rsid w:val="00630A22"/>
    <w:rsid w:val="006317D0"/>
    <w:rsid w:val="00636181"/>
    <w:rsid w:val="00637C93"/>
    <w:rsid w:val="00646198"/>
    <w:rsid w:val="00671493"/>
    <w:rsid w:val="00676BFC"/>
    <w:rsid w:val="00683F68"/>
    <w:rsid w:val="00684B1B"/>
    <w:rsid w:val="00693A57"/>
    <w:rsid w:val="006D1C85"/>
    <w:rsid w:val="006D7DB7"/>
    <w:rsid w:val="006E4273"/>
    <w:rsid w:val="006F60CD"/>
    <w:rsid w:val="0071766E"/>
    <w:rsid w:val="007242C8"/>
    <w:rsid w:val="007247CD"/>
    <w:rsid w:val="00735903"/>
    <w:rsid w:val="007601C9"/>
    <w:rsid w:val="00765D74"/>
    <w:rsid w:val="007678B1"/>
    <w:rsid w:val="00783007"/>
    <w:rsid w:val="007B1715"/>
    <w:rsid w:val="007B2B18"/>
    <w:rsid w:val="007B370F"/>
    <w:rsid w:val="007D0E8E"/>
    <w:rsid w:val="007D261B"/>
    <w:rsid w:val="007E6785"/>
    <w:rsid w:val="008061A5"/>
    <w:rsid w:val="008420FD"/>
    <w:rsid w:val="00850EF9"/>
    <w:rsid w:val="0085216A"/>
    <w:rsid w:val="0085510A"/>
    <w:rsid w:val="00856C69"/>
    <w:rsid w:val="0088230D"/>
    <w:rsid w:val="00884854"/>
    <w:rsid w:val="00891416"/>
    <w:rsid w:val="00896286"/>
    <w:rsid w:val="008C5A38"/>
    <w:rsid w:val="008C62CB"/>
    <w:rsid w:val="008D1307"/>
    <w:rsid w:val="008E25FC"/>
    <w:rsid w:val="008F40C9"/>
    <w:rsid w:val="008F6F7D"/>
    <w:rsid w:val="009049E1"/>
    <w:rsid w:val="009106A0"/>
    <w:rsid w:val="0091767E"/>
    <w:rsid w:val="00920C9A"/>
    <w:rsid w:val="009220EA"/>
    <w:rsid w:val="00927299"/>
    <w:rsid w:val="0093437F"/>
    <w:rsid w:val="00942967"/>
    <w:rsid w:val="009548B1"/>
    <w:rsid w:val="00955D9C"/>
    <w:rsid w:val="00964491"/>
    <w:rsid w:val="00971F93"/>
    <w:rsid w:val="00977ADB"/>
    <w:rsid w:val="00981998"/>
    <w:rsid w:val="0098364B"/>
    <w:rsid w:val="00986306"/>
    <w:rsid w:val="009976B7"/>
    <w:rsid w:val="009A10F1"/>
    <w:rsid w:val="009A320D"/>
    <w:rsid w:val="009A5C9B"/>
    <w:rsid w:val="009B6E14"/>
    <w:rsid w:val="009B77A5"/>
    <w:rsid w:val="009D0BB2"/>
    <w:rsid w:val="009D291D"/>
    <w:rsid w:val="00A01C73"/>
    <w:rsid w:val="00A10535"/>
    <w:rsid w:val="00A324CF"/>
    <w:rsid w:val="00A325EB"/>
    <w:rsid w:val="00A4142D"/>
    <w:rsid w:val="00A556FE"/>
    <w:rsid w:val="00A57C2C"/>
    <w:rsid w:val="00A614FD"/>
    <w:rsid w:val="00A978BA"/>
    <w:rsid w:val="00AA53DB"/>
    <w:rsid w:val="00AB0262"/>
    <w:rsid w:val="00AB471D"/>
    <w:rsid w:val="00AC37B4"/>
    <w:rsid w:val="00AE212B"/>
    <w:rsid w:val="00AF4A6C"/>
    <w:rsid w:val="00B03DC6"/>
    <w:rsid w:val="00B15549"/>
    <w:rsid w:val="00B21AD3"/>
    <w:rsid w:val="00B37BE3"/>
    <w:rsid w:val="00B432A4"/>
    <w:rsid w:val="00B433A3"/>
    <w:rsid w:val="00B50CF8"/>
    <w:rsid w:val="00B6226C"/>
    <w:rsid w:val="00B74196"/>
    <w:rsid w:val="00B93519"/>
    <w:rsid w:val="00B94BDF"/>
    <w:rsid w:val="00BA7CBB"/>
    <w:rsid w:val="00BB3D3F"/>
    <w:rsid w:val="00BC4875"/>
    <w:rsid w:val="00BE7FD9"/>
    <w:rsid w:val="00BF1BC7"/>
    <w:rsid w:val="00BF2C11"/>
    <w:rsid w:val="00BF4CD5"/>
    <w:rsid w:val="00C04A3C"/>
    <w:rsid w:val="00C12AB5"/>
    <w:rsid w:val="00C169F9"/>
    <w:rsid w:val="00C23E98"/>
    <w:rsid w:val="00C23EB7"/>
    <w:rsid w:val="00C26025"/>
    <w:rsid w:val="00C26AD5"/>
    <w:rsid w:val="00C26B37"/>
    <w:rsid w:val="00C31B86"/>
    <w:rsid w:val="00C40510"/>
    <w:rsid w:val="00C42BAB"/>
    <w:rsid w:val="00C5042D"/>
    <w:rsid w:val="00C51679"/>
    <w:rsid w:val="00C66AE6"/>
    <w:rsid w:val="00C8081E"/>
    <w:rsid w:val="00C856B9"/>
    <w:rsid w:val="00C8782B"/>
    <w:rsid w:val="00C90AC2"/>
    <w:rsid w:val="00CC65B8"/>
    <w:rsid w:val="00CC775F"/>
    <w:rsid w:val="00CC7E79"/>
    <w:rsid w:val="00CD648A"/>
    <w:rsid w:val="00D051A3"/>
    <w:rsid w:val="00D14112"/>
    <w:rsid w:val="00D30202"/>
    <w:rsid w:val="00D42171"/>
    <w:rsid w:val="00D44B14"/>
    <w:rsid w:val="00D52932"/>
    <w:rsid w:val="00D61242"/>
    <w:rsid w:val="00D957BB"/>
    <w:rsid w:val="00DB7B6A"/>
    <w:rsid w:val="00DC2D45"/>
    <w:rsid w:val="00DD220C"/>
    <w:rsid w:val="00DD5DE9"/>
    <w:rsid w:val="00DE6A0E"/>
    <w:rsid w:val="00DF1328"/>
    <w:rsid w:val="00DF4DB9"/>
    <w:rsid w:val="00DF521D"/>
    <w:rsid w:val="00E022F8"/>
    <w:rsid w:val="00E02793"/>
    <w:rsid w:val="00E0770C"/>
    <w:rsid w:val="00E07D18"/>
    <w:rsid w:val="00E10D43"/>
    <w:rsid w:val="00E22215"/>
    <w:rsid w:val="00E410A7"/>
    <w:rsid w:val="00E41255"/>
    <w:rsid w:val="00E54F30"/>
    <w:rsid w:val="00E55A62"/>
    <w:rsid w:val="00E922B5"/>
    <w:rsid w:val="00E9378E"/>
    <w:rsid w:val="00EA0F18"/>
    <w:rsid w:val="00EB0621"/>
    <w:rsid w:val="00EC1661"/>
    <w:rsid w:val="00EC2158"/>
    <w:rsid w:val="00EC6F75"/>
    <w:rsid w:val="00ED66F2"/>
    <w:rsid w:val="00EE0D10"/>
    <w:rsid w:val="00EF03EF"/>
    <w:rsid w:val="00EF2878"/>
    <w:rsid w:val="00EF2DF5"/>
    <w:rsid w:val="00EF6EC7"/>
    <w:rsid w:val="00F14FAE"/>
    <w:rsid w:val="00F33697"/>
    <w:rsid w:val="00F5229D"/>
    <w:rsid w:val="00F56AAB"/>
    <w:rsid w:val="00F613CC"/>
    <w:rsid w:val="00F63820"/>
    <w:rsid w:val="00F739D3"/>
    <w:rsid w:val="00F7480D"/>
    <w:rsid w:val="00F8567B"/>
    <w:rsid w:val="00F9751A"/>
    <w:rsid w:val="00FA3733"/>
    <w:rsid w:val="00FA6CC3"/>
    <w:rsid w:val="00FB1288"/>
    <w:rsid w:val="00FD0412"/>
    <w:rsid w:val="00FE348C"/>
    <w:rsid w:val="00FF0C50"/>
    <w:rsid w:val="016219BE"/>
    <w:rsid w:val="01630031"/>
    <w:rsid w:val="05127A85"/>
    <w:rsid w:val="0592EBFB"/>
    <w:rsid w:val="062B07F4"/>
    <w:rsid w:val="070775BE"/>
    <w:rsid w:val="072B24A6"/>
    <w:rsid w:val="082C588C"/>
    <w:rsid w:val="0A1DD8FD"/>
    <w:rsid w:val="0B5049B3"/>
    <w:rsid w:val="0C576326"/>
    <w:rsid w:val="0CA0211F"/>
    <w:rsid w:val="0DE4A581"/>
    <w:rsid w:val="10900F02"/>
    <w:rsid w:val="10A1898E"/>
    <w:rsid w:val="10D291A3"/>
    <w:rsid w:val="11A5B00D"/>
    <w:rsid w:val="11B75A41"/>
    <w:rsid w:val="130F62A3"/>
    <w:rsid w:val="13F8516E"/>
    <w:rsid w:val="1411AAC8"/>
    <w:rsid w:val="14AB3304"/>
    <w:rsid w:val="167D35C2"/>
    <w:rsid w:val="1708A1E0"/>
    <w:rsid w:val="1956838E"/>
    <w:rsid w:val="1A536716"/>
    <w:rsid w:val="1A7973E9"/>
    <w:rsid w:val="1AE4DD95"/>
    <w:rsid w:val="1C5F9A04"/>
    <w:rsid w:val="1DB114AB"/>
    <w:rsid w:val="1F597188"/>
    <w:rsid w:val="203A1BB6"/>
    <w:rsid w:val="22108D98"/>
    <w:rsid w:val="22DB9984"/>
    <w:rsid w:val="238F0BA4"/>
    <w:rsid w:val="247B321F"/>
    <w:rsid w:val="24C6C335"/>
    <w:rsid w:val="25227C70"/>
    <w:rsid w:val="25C97DFA"/>
    <w:rsid w:val="27B3D38B"/>
    <w:rsid w:val="28329187"/>
    <w:rsid w:val="284FC460"/>
    <w:rsid w:val="287383EA"/>
    <w:rsid w:val="28FD91EC"/>
    <w:rsid w:val="29011EBC"/>
    <w:rsid w:val="2990FFEC"/>
    <w:rsid w:val="29E7CCBA"/>
    <w:rsid w:val="2A99624D"/>
    <w:rsid w:val="2B136FE3"/>
    <w:rsid w:val="2B8912D4"/>
    <w:rsid w:val="2BAB24AC"/>
    <w:rsid w:val="2C3532AE"/>
    <w:rsid w:val="2D0602AA"/>
    <w:rsid w:val="2DCFCF91"/>
    <w:rsid w:val="2E0DF728"/>
    <w:rsid w:val="2E64710F"/>
    <w:rsid w:val="2EE2C56E"/>
    <w:rsid w:val="30109653"/>
    <w:rsid w:val="307E95CF"/>
    <w:rsid w:val="31C251B8"/>
    <w:rsid w:val="34748D8C"/>
    <w:rsid w:val="34A5DED5"/>
    <w:rsid w:val="3755D315"/>
    <w:rsid w:val="375C1472"/>
    <w:rsid w:val="3D50C952"/>
    <w:rsid w:val="3EB3558C"/>
    <w:rsid w:val="4006FEEF"/>
    <w:rsid w:val="40237CC4"/>
    <w:rsid w:val="405BB4BC"/>
    <w:rsid w:val="408AC0EA"/>
    <w:rsid w:val="430B2490"/>
    <w:rsid w:val="4393557E"/>
    <w:rsid w:val="43B75FB6"/>
    <w:rsid w:val="452F25DF"/>
    <w:rsid w:val="45D0267E"/>
    <w:rsid w:val="4642C552"/>
    <w:rsid w:val="46BA6EC1"/>
    <w:rsid w:val="46CAF640"/>
    <w:rsid w:val="47FF1CF5"/>
    <w:rsid w:val="48AEA8CB"/>
    <w:rsid w:val="4A029702"/>
    <w:rsid w:val="4B975A94"/>
    <w:rsid w:val="4F0715A5"/>
    <w:rsid w:val="50B52B4D"/>
    <w:rsid w:val="50F4BACE"/>
    <w:rsid w:val="51A30B75"/>
    <w:rsid w:val="51A82619"/>
    <w:rsid w:val="528C598C"/>
    <w:rsid w:val="5390AA89"/>
    <w:rsid w:val="53B343E2"/>
    <w:rsid w:val="55061479"/>
    <w:rsid w:val="554F1443"/>
    <w:rsid w:val="55AD8711"/>
    <w:rsid w:val="5609C8E1"/>
    <w:rsid w:val="56A1E4DA"/>
    <w:rsid w:val="56B0CF98"/>
    <w:rsid w:val="578A3444"/>
    <w:rsid w:val="586D8BCF"/>
    <w:rsid w:val="58CFA803"/>
    <w:rsid w:val="59D9859C"/>
    <w:rsid w:val="59FA5EF3"/>
    <w:rsid w:val="5AB5F366"/>
    <w:rsid w:val="5B0C7DBF"/>
    <w:rsid w:val="5DED9428"/>
    <w:rsid w:val="5E59944C"/>
    <w:rsid w:val="5EE60731"/>
    <w:rsid w:val="5F7CBD39"/>
    <w:rsid w:val="5F896489"/>
    <w:rsid w:val="610C2AAC"/>
    <w:rsid w:val="61A1B12F"/>
    <w:rsid w:val="61A78E81"/>
    <w:rsid w:val="624613F8"/>
    <w:rsid w:val="6364BC57"/>
    <w:rsid w:val="636BA866"/>
    <w:rsid w:val="66BFF62A"/>
    <w:rsid w:val="687A7D8D"/>
    <w:rsid w:val="68811624"/>
    <w:rsid w:val="6C74FF1B"/>
    <w:rsid w:val="6D4E37B2"/>
    <w:rsid w:val="6E20E4C2"/>
    <w:rsid w:val="71870E39"/>
    <w:rsid w:val="7221A8D5"/>
    <w:rsid w:val="73317CAC"/>
    <w:rsid w:val="73779913"/>
    <w:rsid w:val="7428D087"/>
    <w:rsid w:val="761A52FD"/>
    <w:rsid w:val="77591843"/>
    <w:rsid w:val="78CEE8D2"/>
    <w:rsid w:val="7901B113"/>
    <w:rsid w:val="79564F42"/>
    <w:rsid w:val="7977FBA2"/>
    <w:rsid w:val="7AA04F17"/>
    <w:rsid w:val="7CAF9C64"/>
    <w:rsid w:val="7DD52236"/>
    <w:rsid w:val="7E4B6CC5"/>
    <w:rsid w:val="7EABE420"/>
    <w:rsid w:val="7F77E079"/>
    <w:rsid w:val="7F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B6B5"/>
  <w15:chartTrackingRefBased/>
  <w15:docId w15:val="{AFC77270-ADFF-4D90-8ECF-96235D0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7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7B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B4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FD4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59BCED3FDE044846C8E2D4DC39BF9" ma:contentTypeVersion="6" ma:contentTypeDescription="Create a new document." ma:contentTypeScope="" ma:versionID="584921c3936f23b6e751fc9e1243c9c6">
  <xsd:schema xmlns:xsd="http://www.w3.org/2001/XMLSchema" xmlns:xs="http://www.w3.org/2001/XMLSchema" xmlns:p="http://schemas.microsoft.com/office/2006/metadata/properties" xmlns:ns2="cf75a329-18dc-4bb1-9254-9df732b5ed50" xmlns:ns3="5c4caafa-715e-4815-a41f-8b92795181d3" targetNamespace="http://schemas.microsoft.com/office/2006/metadata/properties" ma:root="true" ma:fieldsID="090b33db0b4d611440057a667c2d97bf" ns2:_="" ns3:_="">
    <xsd:import namespace="cf75a329-18dc-4bb1-9254-9df732b5ed50"/>
    <xsd:import namespace="5c4caafa-715e-4815-a41f-8b927951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5a329-18dc-4bb1-9254-9df732b5e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caafa-715e-4815-a41f-8b927951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 F O X D O C S 0 1 ! 4 5 6 7 8 2 . 1 < / d o c u m e n t i d >  
     < s e n d e r i d > C W A T T _ 1 7 5 _ F O X L A W Y E R < / s e n d e r i d >  
     < s e n d e r e m a i l > C W A T T @ F O X L A W Y E R S . C O M < / s e n d e r e m a i l >  
     < l a s t m o d i f i e d > 2 0 2 3 - 0 1 - 1 6 T 1 6 : 1 8 : 0 0 . 0 0 0 0 0 0 0 + 0 0 : 0 0 < / l a s t m o d i f i e d >  
     < d a t a b a s e > F O X D O C S 0 1 < / d a t a b a s e >  
 < / p r o p e r t i e s > 
</file>

<file path=customXml/itemProps1.xml><?xml version="1.0" encoding="utf-8"?>
<ds:datastoreItem xmlns:ds="http://schemas.openxmlformats.org/officeDocument/2006/customXml" ds:itemID="{A6EAE11E-FD5E-4F62-9B25-51623150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5a329-18dc-4bb1-9254-9df732b5ed50"/>
    <ds:schemaRef ds:uri="5c4caafa-715e-4815-a41f-8b927951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49EC1-A0E5-4ADA-ABC3-F63544F33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E25BA-8954-CF47-9F97-10094D0585D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Bradley</dc:creator>
  <cp:keywords/>
  <dc:description/>
  <cp:lastModifiedBy>Maria Hughes</cp:lastModifiedBy>
  <cp:revision>2</cp:revision>
  <dcterms:created xsi:type="dcterms:W3CDTF">2023-01-23T11:18:00Z</dcterms:created>
  <dcterms:modified xsi:type="dcterms:W3CDTF">2023-01-23T11:18:00Z</dcterms:modified>
</cp:coreProperties>
</file>